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4"/>
          <w:szCs w:val="24"/>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32" w:lineRule="exact"/>
        <w:rPr>
          <w:sz w:val="24"/>
          <w:szCs w:val="24"/>
          <w:color w:val="auto"/>
        </w:rPr>
      </w:pPr>
    </w:p>
    <w:p>
      <w:pPr>
        <w:ind w:left="3920" w:right="1960" w:hanging="3912"/>
        <w:spacing w:after="0" w:line="282" w:lineRule="auto"/>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 1-36132</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PLAINS GP HOLDINGS, L.P.</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8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w w:val="94"/>
              </w:rPr>
              <w:t>Delaware</w:t>
            </w:r>
          </w:p>
        </w:tc>
        <w:tc>
          <w:tcPr>
            <w:tcW w:w="2520" w:type="dxa"/>
            <w:vAlign w:val="bottom"/>
          </w:tcPr>
          <w:p>
            <w:pPr>
              <w:spacing w:after="0"/>
              <w:rPr>
                <w:sz w:val="16"/>
                <w:szCs w:val="16"/>
                <w:color w:val="auto"/>
              </w:rPr>
            </w:pPr>
          </w:p>
        </w:tc>
        <w:tc>
          <w:tcPr>
            <w:tcW w:w="3800" w:type="dxa"/>
            <w:vAlign w:val="bottom"/>
            <w:gridSpan w:val="3"/>
          </w:tcPr>
          <w:p>
            <w:pPr>
              <w:jc w:val="right"/>
              <w:ind w:right="1871"/>
              <w:spacing w:after="0"/>
              <w:rPr>
                <w:sz w:val="20"/>
                <w:szCs w:val="20"/>
                <w:color w:val="auto"/>
              </w:rPr>
            </w:pPr>
            <w:r>
              <w:rPr>
                <w:rFonts w:ascii="Arial" w:cs="Arial" w:eastAsia="Arial" w:hAnsi="Arial"/>
                <w:sz w:val="14"/>
                <w:szCs w:val="14"/>
                <w:b w:val="1"/>
                <w:bCs w:val="1"/>
                <w:color w:val="auto"/>
              </w:rPr>
              <w:t>90-1005472</w:t>
            </w:r>
          </w:p>
        </w:tc>
      </w:tr>
      <w:tr>
        <w:trPr>
          <w:trHeight w:val="189"/>
        </w:trPr>
        <w:tc>
          <w:tcPr>
            <w:tcW w:w="5720" w:type="dxa"/>
            <w:vAlign w:val="bottom"/>
            <w:gridSpan w:val="4"/>
          </w:tcPr>
          <w:p>
            <w:pPr>
              <w:jc w:val="center"/>
              <w:ind w:right="2211"/>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800" w:type="dxa"/>
            <w:vAlign w:val="bottom"/>
            <w:gridSpan w:val="3"/>
          </w:tcPr>
          <w:p>
            <w:pPr>
              <w:jc w:val="center"/>
              <w:ind w:right="711"/>
              <w:spacing w:after="0"/>
              <w:rPr>
                <w:sz w:val="20"/>
                <w:szCs w:val="20"/>
                <w:color w:val="auto"/>
              </w:rPr>
            </w:pPr>
            <w:r>
              <w:rPr>
                <w:rFonts w:ascii="Arial" w:cs="Arial" w:eastAsia="Arial" w:hAnsi="Arial"/>
                <w:sz w:val="14"/>
                <w:szCs w:val="14"/>
                <w:color w:val="auto"/>
                <w:w w:val="97"/>
              </w:rPr>
              <w:t>(I.R.S. Employer Identification No.)</w:t>
            </w:r>
          </w:p>
        </w:tc>
      </w:tr>
      <w:tr>
        <w:trPr>
          <w:trHeight w:val="284"/>
        </w:trPr>
        <w:tc>
          <w:tcPr>
            <w:tcW w:w="20" w:type="dxa"/>
            <w:vAlign w:val="bottom"/>
          </w:tcPr>
          <w:p>
            <w:pPr>
              <w:spacing w:after="0"/>
              <w:rPr>
                <w:sz w:val="24"/>
                <w:szCs w:val="24"/>
                <w:color w:val="auto"/>
              </w:rPr>
            </w:pPr>
          </w:p>
        </w:tc>
        <w:tc>
          <w:tcPr>
            <w:tcW w:w="318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2520" w:type="dxa"/>
            <w:vAlign w:val="bottom"/>
          </w:tcPr>
          <w:p>
            <w:pPr>
              <w:spacing w:after="0"/>
              <w:rPr>
                <w:sz w:val="24"/>
                <w:szCs w:val="24"/>
                <w:color w:val="auto"/>
              </w:rPr>
            </w:pPr>
          </w:p>
        </w:tc>
        <w:tc>
          <w:tcPr>
            <w:tcW w:w="3800" w:type="dxa"/>
            <w:vAlign w:val="bottom"/>
            <w:gridSpan w:val="3"/>
          </w:tcPr>
          <w:p>
            <w:pPr>
              <w:jc w:val="right"/>
              <w:ind w:right="2031"/>
              <w:spacing w:after="0"/>
              <w:rPr>
                <w:sz w:val="20"/>
                <w:szCs w:val="20"/>
                <w:color w:val="auto"/>
              </w:rPr>
            </w:pPr>
            <w:r>
              <w:rPr>
                <w:rFonts w:ascii="Arial" w:cs="Arial" w:eastAsia="Arial" w:hAnsi="Arial"/>
                <w:sz w:val="14"/>
                <w:szCs w:val="14"/>
                <w:b w:val="1"/>
                <w:bCs w:val="1"/>
                <w:color w:val="auto"/>
              </w:rPr>
              <w:t>77002</w:t>
            </w:r>
          </w:p>
        </w:tc>
      </w:tr>
      <w:tr>
        <w:trPr>
          <w:trHeight w:val="189"/>
        </w:trPr>
        <w:tc>
          <w:tcPr>
            <w:tcW w:w="20" w:type="dxa"/>
            <w:vAlign w:val="bottom"/>
          </w:tcPr>
          <w:p>
            <w:pPr>
              <w:spacing w:after="0"/>
              <w:rPr>
                <w:sz w:val="16"/>
                <w:szCs w:val="16"/>
                <w:color w:val="auto"/>
              </w:rPr>
            </w:pPr>
          </w:p>
        </w:tc>
        <w:tc>
          <w:tcPr>
            <w:tcW w:w="3180" w:type="dxa"/>
            <w:vAlign w:val="bottom"/>
            <w:gridSpan w:val="2"/>
          </w:tcPr>
          <w:p>
            <w:pPr>
              <w:jc w:val="center"/>
              <w:ind w:left="149"/>
              <w:spacing w:after="0"/>
              <w:rPr>
                <w:sz w:val="20"/>
                <w:szCs w:val="20"/>
                <w:color w:val="auto"/>
              </w:rPr>
            </w:pPr>
            <w:r>
              <w:rPr>
                <w:rFonts w:ascii="Arial" w:cs="Arial" w:eastAsia="Arial" w:hAnsi="Arial"/>
                <w:sz w:val="14"/>
                <w:szCs w:val="14"/>
                <w:color w:val="auto"/>
                <w:w w:val="95"/>
              </w:rPr>
              <w:t>(Address of principal executive offices)</w:t>
            </w:r>
          </w:p>
        </w:tc>
        <w:tc>
          <w:tcPr>
            <w:tcW w:w="2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jc w:val="center"/>
              <w:ind w:right="1351"/>
              <w:spacing w:after="0"/>
              <w:rPr>
                <w:sz w:val="20"/>
                <w:szCs w:val="20"/>
                <w:color w:val="auto"/>
              </w:rPr>
            </w:pPr>
            <w:r>
              <w:rPr>
                <w:rFonts w:ascii="Arial" w:cs="Arial" w:eastAsia="Arial" w:hAnsi="Arial"/>
                <w:sz w:val="14"/>
                <w:szCs w:val="14"/>
                <w:color w:val="auto"/>
                <w:w w:val="96"/>
              </w:rPr>
              <w:t>(Zip Code)</w:t>
            </w:r>
          </w:p>
        </w:tc>
      </w:tr>
      <w:tr>
        <w:trPr>
          <w:trHeight w:val="527"/>
        </w:trPr>
        <w:tc>
          <w:tcPr>
            <w:tcW w:w="20" w:type="dxa"/>
            <w:vAlign w:val="bottom"/>
          </w:tcPr>
          <w:p>
            <w:pPr>
              <w:spacing w:after="0"/>
              <w:rPr>
                <w:sz w:val="24"/>
                <w:szCs w:val="24"/>
                <w:color w:val="auto"/>
              </w:rPr>
            </w:pPr>
          </w:p>
        </w:tc>
        <w:tc>
          <w:tcPr>
            <w:tcW w:w="9500" w:type="dxa"/>
            <w:vAlign w:val="bottom"/>
            <w:gridSpan w:val="6"/>
          </w:tcPr>
          <w:p>
            <w:pPr>
              <w:ind w:left="278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tc>
      </w:tr>
      <w:tr>
        <w:trPr>
          <w:trHeight w:val="40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20" w:type="dxa"/>
            <w:vAlign w:val="bottom"/>
            <w:gridSpan w:val="4"/>
          </w:tcPr>
          <w:p>
            <w:pPr>
              <w:ind w:left="4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195"/>
        </w:trPr>
        <w:tc>
          <w:tcPr>
            <w:tcW w:w="20" w:type="dxa"/>
            <w:vAlign w:val="bottom"/>
          </w:tcPr>
          <w:p>
            <w:pPr>
              <w:spacing w:after="0"/>
              <w:rPr>
                <w:sz w:val="16"/>
                <w:szCs w:val="16"/>
                <w:color w:val="auto"/>
              </w:rPr>
            </w:pPr>
          </w:p>
        </w:tc>
        <w:tc>
          <w:tcPr>
            <w:tcW w:w="3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Title of Each Class</w:t>
            </w:r>
          </w:p>
        </w:tc>
        <w:tc>
          <w:tcPr>
            <w:tcW w:w="2520" w:type="dxa"/>
            <w:vAlign w:val="bottom"/>
          </w:tcPr>
          <w:p>
            <w:pPr>
              <w:jc w:val="center"/>
              <w:ind w:left="491"/>
              <w:spacing w:after="0"/>
              <w:rPr>
                <w:sz w:val="20"/>
                <w:szCs w:val="20"/>
                <w:color w:val="auto"/>
              </w:rPr>
            </w:pPr>
            <w:r>
              <w:rPr>
                <w:rFonts w:ascii="Arial" w:cs="Arial" w:eastAsia="Arial" w:hAnsi="Arial"/>
                <w:sz w:val="13"/>
                <w:szCs w:val="13"/>
                <w:b w:val="1"/>
                <w:bCs w:val="1"/>
                <w:color w:val="auto"/>
                <w:w w:val="87"/>
              </w:rPr>
              <w:t>Trading Symbol(s)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35"/>
        </w:trPr>
        <w:tc>
          <w:tcPr>
            <w:tcW w:w="20" w:type="dxa"/>
            <w:vAlign w:val="bottom"/>
          </w:tcPr>
          <w:p>
            <w:pPr>
              <w:spacing w:after="0"/>
              <w:rPr>
                <w:sz w:val="11"/>
                <w:szCs w:val="11"/>
                <w:color w:val="auto"/>
              </w:rPr>
            </w:pPr>
          </w:p>
        </w:tc>
        <w:tc>
          <w:tcPr>
            <w:tcW w:w="30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Class A Shares, Representing Limited Partner</w:t>
            </w:r>
          </w:p>
        </w:tc>
        <w:tc>
          <w:tcPr>
            <w:tcW w:w="120" w:type="dxa"/>
            <w:vAlign w:val="bottom"/>
          </w:tcPr>
          <w:p>
            <w:pPr>
              <w:spacing w:after="0"/>
              <w:rPr>
                <w:sz w:val="11"/>
                <w:szCs w:val="11"/>
                <w:color w:val="auto"/>
              </w:rPr>
            </w:pPr>
          </w:p>
        </w:tc>
        <w:tc>
          <w:tcPr>
            <w:tcW w:w="2520" w:type="dxa"/>
            <w:vAlign w:val="bottom"/>
            <w:tcBorders>
              <w:top w:val="single" w:sz="8" w:color="auto"/>
            </w:tcBorders>
          </w:tcPr>
          <w:p>
            <w:pPr>
              <w:jc w:val="center"/>
              <w:ind w:left="491"/>
              <w:spacing w:after="0" w:line="135" w:lineRule="exact"/>
              <w:rPr>
                <w:sz w:val="20"/>
                <w:szCs w:val="20"/>
                <w:color w:val="auto"/>
              </w:rPr>
            </w:pPr>
            <w:r>
              <w:rPr>
                <w:rFonts w:ascii="Arial" w:cs="Arial" w:eastAsia="Arial" w:hAnsi="Arial"/>
                <w:sz w:val="14"/>
                <w:szCs w:val="14"/>
                <w:color w:val="auto"/>
                <w:w w:val="92"/>
              </w:rPr>
              <w:t>PAGP</w:t>
            </w: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1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86"/>
              </w:rPr>
              <w:t>Nasdaq</w:t>
            </w:r>
          </w:p>
        </w:tc>
      </w:tr>
      <w:tr>
        <w:trPr>
          <w:trHeight w:val="182"/>
        </w:trPr>
        <w:tc>
          <w:tcPr>
            <w:tcW w:w="20" w:type="dxa"/>
            <w:vAlign w:val="bottom"/>
          </w:tcPr>
          <w:p>
            <w:pPr>
              <w:spacing w:after="0"/>
              <w:rPr>
                <w:sz w:val="15"/>
                <w:szCs w:val="15"/>
                <w:color w:val="auto"/>
              </w:rPr>
            </w:pPr>
          </w:p>
        </w:tc>
        <w:tc>
          <w:tcPr>
            <w:tcW w:w="31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Interests</w:t>
            </w:r>
          </w:p>
        </w:tc>
        <w:tc>
          <w:tcPr>
            <w:tcW w:w="2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r>
    </w:tbl>
    <w:p>
      <w:pPr>
        <w:spacing w:after="0" w:line="9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34" w:lineRule="exact"/>
        <w:rPr>
          <w:sz w:val="24"/>
          <w:szCs w:val="24"/>
          <w:color w:val="auto"/>
        </w:rPr>
      </w:pPr>
    </w:p>
    <w:p>
      <w:pPr>
        <w:ind w:left="300" w:right="312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0" w:firstLine="283"/>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283"/>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0" w:firstLine="283"/>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38" w:right="459" w:bottom="1440" w:gutter="0" w:footer="0" w:header="0"/>
        </w:sectPr>
      </w:pPr>
    </w:p>
    <w:p>
      <w:pPr>
        <w:spacing w:after="0" w:line="38" w:lineRule="exact"/>
        <w:rPr>
          <w:sz w:val="24"/>
          <w:szCs w:val="24"/>
          <w:color w:val="auto"/>
        </w:rPr>
      </w:pPr>
    </w:p>
    <w:p>
      <w:pPr>
        <w:ind w:left="18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07" w:lineRule="exact"/>
        <w:rPr>
          <w:sz w:val="24"/>
          <w:szCs w:val="24"/>
          <w:color w:val="auto"/>
        </w:rPr>
      </w:pPr>
    </w:p>
    <w:p>
      <w:pPr>
        <w:sectPr>
          <w:pgSz w:w="11900" w:h="16838" w:orient="portrait"/>
          <w:cols w:equalWidth="0" w:num="2">
            <w:col w:w="6800" w:space="720"/>
            <w:col w:w="3600"/>
          </w:cols>
          <w:pgMar w:left="320" w:top="238" w:right="459" w:bottom="1440" w:gutter="0" w:footer="0" w:header="0"/>
          <w:type w:val="continuous"/>
        </w:sectPr>
      </w:pPr>
    </w:p>
    <w:p>
      <w:pPr>
        <w:ind w:left="18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94" w:lineRule="exact"/>
        <w:rPr>
          <w:sz w:val="24"/>
          <w:szCs w:val="24"/>
          <w:color w:val="auto"/>
        </w:rPr>
      </w:pPr>
    </w:p>
    <w:p>
      <w:pPr>
        <w:sectPr>
          <w:pgSz w:w="11900" w:h="16838" w:orient="portrait"/>
          <w:cols w:equalWidth="0" w:num="2">
            <w:col w:w="6480" w:space="720"/>
            <w:col w:w="3920"/>
          </w:cols>
          <w:pgMar w:left="320" w:top="238" w:right="459" w:bottom="1440" w:gutter="0" w:footer="0" w:header="0"/>
          <w:type w:val="continuous"/>
        </w:sectPr>
      </w:pPr>
    </w:p>
    <w:p>
      <w:pPr>
        <w:ind w:left="72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120"/>
          </w:cols>
          <w:pgMar w:left="320" w:top="238" w:right="459" w:bottom="1440" w:gutter="0" w:footer="0" w:header="0"/>
          <w:type w:val="continuous"/>
        </w:sectPr>
      </w:pPr>
    </w:p>
    <w:p>
      <w:pPr>
        <w:spacing w:after="0" w:line="161" w:lineRule="exact"/>
        <w:rPr>
          <w:sz w:val="24"/>
          <w:szCs w:val="24"/>
          <w:color w:val="auto"/>
        </w:rPr>
      </w:pPr>
    </w:p>
    <w:p>
      <w:pPr>
        <w:ind w:right="460" w:firstLine="648"/>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right="20" w:firstLine="324"/>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257" w:lineRule="auto"/>
        <w:rPr>
          <w:sz w:val="20"/>
          <w:szCs w:val="20"/>
          <w:color w:val="auto"/>
        </w:rPr>
      </w:pPr>
      <w:r>
        <w:rPr>
          <w:rFonts w:ascii="Arial" w:cs="Arial" w:eastAsia="Arial" w:hAnsi="Arial"/>
          <w:sz w:val="14"/>
          <w:szCs w:val="14"/>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$1.6 billion on June 30, 2020, based on a closing price of $8.90 per Class A share as reported on the New York Stock Exchange on such date. As of February 11, 2021, there were 194,097,504 Class A shares outstanding.</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jc w:val="center"/>
        <w:ind w:left="440"/>
        <w:spacing w:after="0" w:line="273" w:lineRule="auto"/>
        <w:rPr>
          <w:sz w:val="20"/>
          <w:szCs w:val="20"/>
          <w:color w:val="auto"/>
        </w:rPr>
      </w:pPr>
      <w:r>
        <w:rPr>
          <w:rFonts w:ascii="Arial" w:cs="Arial" w:eastAsia="Arial" w:hAnsi="Arial"/>
          <w:sz w:val="14"/>
          <w:szCs w:val="14"/>
          <w:color w:val="auto"/>
        </w:rPr>
        <w:t>Portions of the registrant’s definitive Proxy Statement to be filed pursuant to Regulation 14A pertaining to the 2021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38" w:right="4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10-K—2020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230"/>
        </w:trPr>
        <w:tc>
          <w:tcPr>
            <w:tcW w:w="1380" w:type="dxa"/>
            <w:vAlign w:val="bottom"/>
          </w:tcPr>
          <w:p>
            <w:pPr>
              <w:spacing w:after="0"/>
              <w:rPr>
                <w:sz w:val="20"/>
                <w:szCs w:val="20"/>
                <w:color w:val="auto"/>
              </w:rPr>
            </w:pPr>
          </w:p>
        </w:tc>
        <w:tc>
          <w:tcPr>
            <w:tcW w:w="8920" w:type="dxa"/>
            <w:vAlign w:val="bottom"/>
          </w:tcPr>
          <w:p>
            <w:pPr>
              <w:jc w:val="cente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w:t>
              </w:r>
            </w:hyperlink>
          </w:p>
        </w:tc>
        <w:tc>
          <w:tcPr>
            <w:tcW w:w="9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498"/>
        </w:trPr>
        <w:tc>
          <w:tcPr>
            <w:tcW w:w="138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Items 1 and 2.</w:t>
              </w:r>
            </w:hyperlink>
          </w:p>
        </w:tc>
        <w:tc>
          <w:tcPr>
            <w:tcW w:w="8920" w:type="dxa"/>
            <w:vAlign w:val="bottom"/>
          </w:tcPr>
          <w:p>
            <w:pPr>
              <w:ind w:left="3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 and Properties</w:t>
              </w:r>
            </w:hyperlink>
          </w:p>
        </w:tc>
        <w:tc>
          <w:tcPr>
            <w:tcW w:w="9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1A.</w:t>
              </w:r>
            </w:hyperlink>
          </w:p>
        </w:tc>
        <w:tc>
          <w:tcPr>
            <w:tcW w:w="8920" w:type="dxa"/>
            <w:vAlign w:val="bottom"/>
          </w:tcPr>
          <w:p>
            <w:pPr>
              <w:ind w:left="3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Risk Factors</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1B.</w:t>
              </w:r>
            </w:hyperlink>
          </w:p>
        </w:tc>
        <w:tc>
          <w:tcPr>
            <w:tcW w:w="8920" w:type="dxa"/>
            <w:vAlign w:val="bottom"/>
          </w:tcPr>
          <w:p>
            <w:pPr>
              <w:ind w:left="3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Unresolved Staff Comments</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3.</w:t>
              </w:r>
            </w:hyperlink>
          </w:p>
        </w:tc>
        <w:tc>
          <w:tcPr>
            <w:tcW w:w="8920" w:type="dxa"/>
            <w:vAlign w:val="bottom"/>
          </w:tcPr>
          <w:p>
            <w:pPr>
              <w:ind w:left="3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Legal Proceedings</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4.</w:t>
              </w:r>
            </w:hyperlink>
          </w:p>
        </w:tc>
        <w:tc>
          <w:tcPr>
            <w:tcW w:w="8920" w:type="dxa"/>
            <w:vAlign w:val="bottom"/>
          </w:tcPr>
          <w:p>
            <w:pPr>
              <w:ind w:left="3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Mine Safety Disclosures</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486"/>
        </w:trPr>
        <w:tc>
          <w:tcPr>
            <w:tcW w:w="1380" w:type="dxa"/>
            <w:vAlign w:val="bottom"/>
          </w:tcPr>
          <w:p>
            <w:pPr>
              <w:spacing w:after="0"/>
              <w:rPr>
                <w:sz w:val="24"/>
                <w:szCs w:val="24"/>
                <w:color w:val="auto"/>
              </w:rPr>
            </w:pPr>
          </w:p>
        </w:tc>
        <w:tc>
          <w:tcPr>
            <w:tcW w:w="8920" w:type="dxa"/>
            <w:vAlign w:val="bottom"/>
          </w:tcPr>
          <w:p>
            <w:pPr>
              <w:jc w:val="center"/>
              <w:spacing w:after="0"/>
              <w:rPr>
                <w:rFonts w:ascii="Arial" w:cs="Arial" w:eastAsia="Arial" w:hAnsi="Arial"/>
                <w:sz w:val="18"/>
                <w:szCs w:val="18"/>
                <w:b w:val="1"/>
                <w:bCs w:val="1"/>
                <w:u w:val="single" w:color="auto"/>
                <w:color w:val="0000FF"/>
                <w:w w:val="99"/>
              </w:rPr>
            </w:pPr>
            <w:hyperlink w:anchor="page75">
              <w:r>
                <w:rPr>
                  <w:rFonts w:ascii="Arial" w:cs="Arial" w:eastAsia="Arial" w:hAnsi="Arial"/>
                  <w:sz w:val="18"/>
                  <w:szCs w:val="18"/>
                  <w:b w:val="1"/>
                  <w:bCs w:val="1"/>
                  <w:u w:val="single" w:color="auto"/>
                  <w:color w:val="0000FF"/>
                  <w:w w:val="99"/>
                </w:rPr>
                <w:t>PART II</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r>
      <w:tr>
        <w:trPr>
          <w:trHeight w:val="661"/>
        </w:trPr>
        <w:tc>
          <w:tcPr>
            <w:tcW w:w="1380" w:type="dxa"/>
            <w:vAlign w:val="bottom"/>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5.</w:t>
              </w:r>
            </w:hyperlink>
          </w:p>
        </w:tc>
        <w:tc>
          <w:tcPr>
            <w:tcW w:w="8920" w:type="dxa"/>
            <w:vAlign w:val="bottom"/>
          </w:tcPr>
          <w:p>
            <w:pPr>
              <w:ind w:left="34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Market for Registrant’s Shares, Related Shareholder Matters and Issuer Purchases of Equity Securities</w:t>
              </w:r>
            </w:hyperlink>
          </w:p>
        </w:tc>
        <w:tc>
          <w:tcPr>
            <w:tcW w:w="9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Item 6.</w:t>
              </w:r>
            </w:hyperlink>
          </w:p>
        </w:tc>
        <w:tc>
          <w:tcPr>
            <w:tcW w:w="8920" w:type="dxa"/>
            <w:vAlign w:val="bottom"/>
          </w:tcPr>
          <w:p>
            <w:pPr>
              <w:ind w:left="34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Selected Financial Data</w:t>
              </w:r>
            </w:hyperlink>
          </w:p>
        </w:tc>
        <w:tc>
          <w:tcPr>
            <w:tcW w:w="92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78</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7.</w:t>
              </w:r>
            </w:hyperlink>
          </w:p>
        </w:tc>
        <w:tc>
          <w:tcPr>
            <w:tcW w:w="8920" w:type="dxa"/>
            <w:vAlign w:val="bottom"/>
          </w:tcPr>
          <w:p>
            <w:pPr>
              <w:ind w:left="3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80</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Item 7A.</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108</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8.</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Financial Statements and Supplementary Data</w:t>
              </w:r>
            </w:hyperlink>
          </w:p>
        </w:tc>
        <w:tc>
          <w:tcPr>
            <w:tcW w:w="9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9.</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9A.</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Controls and Procedures</w:t>
              </w:r>
            </w:hyperlink>
          </w:p>
        </w:tc>
        <w:tc>
          <w:tcPr>
            <w:tcW w:w="92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Item 9B.</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Other Information</w:t>
              </w:r>
            </w:hyperlink>
          </w:p>
        </w:tc>
        <w:tc>
          <w:tcPr>
            <w:tcW w:w="9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486"/>
        </w:trPr>
        <w:tc>
          <w:tcPr>
            <w:tcW w:w="1380" w:type="dxa"/>
            <w:vAlign w:val="bottom"/>
          </w:tcPr>
          <w:p>
            <w:pPr>
              <w:spacing w:after="0"/>
              <w:rPr>
                <w:sz w:val="24"/>
                <w:szCs w:val="24"/>
                <w:color w:val="auto"/>
              </w:rPr>
            </w:pPr>
          </w:p>
        </w:tc>
        <w:tc>
          <w:tcPr>
            <w:tcW w:w="8920" w:type="dxa"/>
            <w:vAlign w:val="bottom"/>
          </w:tcPr>
          <w:p>
            <w:pPr>
              <w:jc w:val="center"/>
              <w:spacing w:after="0"/>
              <w:rPr>
                <w:rFonts w:ascii="Arial" w:cs="Arial" w:eastAsia="Arial" w:hAnsi="Arial"/>
                <w:sz w:val="18"/>
                <w:szCs w:val="18"/>
                <w:b w:val="1"/>
                <w:bCs w:val="1"/>
                <w:u w:val="single" w:color="auto"/>
                <w:color w:val="0000FF"/>
              </w:rPr>
            </w:pPr>
            <w:hyperlink w:anchor="page110">
              <w:r>
                <w:rPr>
                  <w:rFonts w:ascii="Arial" w:cs="Arial" w:eastAsia="Arial" w:hAnsi="Arial"/>
                  <w:sz w:val="18"/>
                  <w:szCs w:val="18"/>
                  <w:b w:val="1"/>
                  <w:bCs w:val="1"/>
                  <w:u w:val="single" w:color="auto"/>
                  <w:color w:val="0000FF"/>
                </w:rPr>
                <w:t>PART III</w:t>
              </w:r>
            </w:hyperlink>
          </w:p>
        </w:tc>
        <w:tc>
          <w:tcPr>
            <w:tcW w:w="9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111</w:t>
              </w:r>
            </w:hyperlink>
          </w:p>
        </w:tc>
      </w:tr>
      <w:tr>
        <w:trPr>
          <w:trHeight w:val="499"/>
        </w:trPr>
        <w:tc>
          <w:tcPr>
            <w:tcW w:w="138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10.</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Directors and Executive Officers of Our General Partner and Corporate Governance</w:t>
              </w:r>
            </w:hyperlink>
          </w:p>
        </w:tc>
        <w:tc>
          <w:tcPr>
            <w:tcW w:w="9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111</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11.</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Executive Compensation</w:t>
              </w:r>
            </w:hyperlink>
          </w:p>
        </w:tc>
        <w:tc>
          <w:tcPr>
            <w:tcW w:w="9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111</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12.</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111</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13.</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112</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Item 14.</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Principal Accountant Fees and Services</w:t>
              </w:r>
            </w:hyperlink>
          </w:p>
        </w:tc>
        <w:tc>
          <w:tcPr>
            <w:tcW w:w="9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486"/>
        </w:trPr>
        <w:tc>
          <w:tcPr>
            <w:tcW w:w="1380" w:type="dxa"/>
            <w:vAlign w:val="bottom"/>
          </w:tcPr>
          <w:p>
            <w:pPr>
              <w:spacing w:after="0"/>
              <w:rPr>
                <w:sz w:val="24"/>
                <w:szCs w:val="24"/>
                <w:color w:val="auto"/>
              </w:rPr>
            </w:pPr>
          </w:p>
        </w:tc>
        <w:tc>
          <w:tcPr>
            <w:tcW w:w="8920" w:type="dxa"/>
            <w:vAlign w:val="bottom"/>
          </w:tcPr>
          <w:p>
            <w:pPr>
              <w:jc w:val="center"/>
              <w:spacing w:after="0"/>
              <w:rPr>
                <w:rFonts w:ascii="Arial" w:cs="Arial" w:eastAsia="Arial" w:hAnsi="Arial"/>
                <w:sz w:val="18"/>
                <w:szCs w:val="18"/>
                <w:b w:val="1"/>
                <w:bCs w:val="1"/>
                <w:u w:val="single" w:color="auto"/>
                <w:color w:val="0000FF"/>
              </w:rPr>
            </w:pPr>
            <w:hyperlink w:anchor="page112">
              <w:r>
                <w:rPr>
                  <w:rFonts w:ascii="Arial" w:cs="Arial" w:eastAsia="Arial" w:hAnsi="Arial"/>
                  <w:sz w:val="18"/>
                  <w:szCs w:val="18"/>
                  <w:b w:val="1"/>
                  <w:bCs w:val="1"/>
                  <w:u w:val="single" w:color="auto"/>
                  <w:color w:val="0000FF"/>
                </w:rPr>
                <w:t>PART IV</w:t>
              </w:r>
            </w:hyperlink>
          </w:p>
        </w:tc>
        <w:tc>
          <w:tcPr>
            <w:tcW w:w="9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113</w:t>
              </w:r>
            </w:hyperlink>
          </w:p>
        </w:tc>
      </w:tr>
      <w:tr>
        <w:trPr>
          <w:trHeight w:val="499"/>
        </w:trPr>
        <w:tc>
          <w:tcPr>
            <w:tcW w:w="1380" w:type="dxa"/>
            <w:vAlign w:val="bottom"/>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Item 15.</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Exhibits and Financial Statement Schedules</w:t>
              </w:r>
            </w:hyperlink>
          </w:p>
        </w:tc>
        <w:tc>
          <w:tcPr>
            <w:tcW w:w="9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16.</w:t>
              </w:r>
            </w:hyperlink>
          </w:p>
        </w:tc>
        <w:tc>
          <w:tcPr>
            <w:tcW w:w="8920" w:type="dxa"/>
            <w:vAlign w:val="bottom"/>
          </w:tcPr>
          <w:p>
            <w:pPr>
              <w:ind w:left="34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Form 10-K Summary</w:t>
              </w:r>
            </w:hyperlink>
          </w:p>
        </w:tc>
        <w:tc>
          <w:tcPr>
            <w:tcW w:w="92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w:t>
      </w:r>
    </w:p>
    <w:p>
      <w:pPr>
        <w:spacing w:after="0" w:line="252" w:lineRule="exact"/>
        <w:rPr>
          <w:sz w:val="20"/>
          <w:szCs w:val="20"/>
          <w:color w:val="auto"/>
        </w:rPr>
      </w:pPr>
    </w:p>
    <w:p>
      <w:pPr>
        <w:ind w:left="980" w:right="100" w:hanging="324"/>
        <w:spacing w:after="0" w:line="273"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further declines in global crude oil demand and crude oil prices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7"/>
          <w:szCs w:val="17"/>
          <w:color w:val="auto"/>
        </w:rPr>
      </w:pPr>
    </w:p>
    <w:p>
      <w:pPr>
        <w:ind w:left="980" w:right="10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 w:lineRule="exact"/>
        <w:rPr>
          <w:rFonts w:ascii="Arial" w:cs="Arial" w:eastAsia="Arial" w:hAnsi="Arial"/>
          <w:sz w:val="16"/>
          <w:szCs w:val="16"/>
          <w:color w:val="auto"/>
        </w:rPr>
      </w:pPr>
    </w:p>
    <w:p>
      <w:pPr>
        <w:ind w:left="980" w:right="22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the future impacts of COVID-19, which may depend on the development, deployment and effectiveness of vaccines; treatments and testing protocols; mutations of the virus resulting in increased transmissibility or severity of the disease or decreasing the effectiveness of vaccines or treatments; the capacity of our healthcare systems and public health infrastructure to manage current and future outbreaks; and various political and economic restrictions;</w:t>
      </w:r>
    </w:p>
    <w:p>
      <w:pPr>
        <w:spacing w:after="0" w:line="78"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 return to market conditions that are more conducive to an increase in drilling and production activities in the United States and a resulting increase in demand for the midstream services we provide;</w:t>
      </w:r>
    </w:p>
    <w:p>
      <w:pPr>
        <w:spacing w:after="0" w:line="62"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right="2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Factors:</w:t>
      </w:r>
    </w:p>
    <w:p>
      <w:pPr>
        <w:spacing w:after="0" w:line="10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86" w:lineRule="exact"/>
        <w:rPr>
          <w:sz w:val="20"/>
          <w:szCs w:val="20"/>
          <w:color w:val="auto"/>
        </w:rPr>
      </w:pPr>
    </w:p>
    <w:p>
      <w:pPr>
        <w:ind w:left="980" w:right="2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its suppliers and trade counterparties;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360" w:hanging="324"/>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3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00" w:hanging="324"/>
        <w:spacing w:after="0" w:line="286"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6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8" w:lineRule="exact"/>
        <w:rPr>
          <w:rFonts w:ascii="Arial" w:cs="Arial" w:eastAsia="Arial" w:hAnsi="Arial"/>
          <w:sz w:val="17"/>
          <w:szCs w:val="17"/>
          <w:color w:val="auto"/>
        </w:rPr>
      </w:pPr>
    </w:p>
    <w:p>
      <w:pPr>
        <w:ind w:left="98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North America and globally and including the potential for a recession or significant slowdown in economic activity levels) and the amplification of other risks caused by volatile financial markets, capital constraints, liquidity concerns and inflation;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26" w:lineRule="exact"/>
        <w:rPr>
          <w:rFonts w:ascii="Arial" w:cs="Arial" w:eastAsia="Arial" w:hAnsi="Arial"/>
          <w:sz w:val="16"/>
          <w:szCs w:val="16"/>
          <w:color w:val="auto"/>
        </w:rPr>
      </w:pPr>
    </w:p>
    <w:p>
      <w:pPr>
        <w:ind w:left="980" w:right="4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30" w:right="6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2020, its principal sources of cash flow are derived from an indirect investment in Plains All American Pipeline, L.P (“PAA”), a publicly traded Delaware limited partnership, through its 100% managing member member interest in Plains All American GP LLC (“GP LLC”) and its limited partner interest in Plains AAP, L.P. (“AAP”).</w:t>
      </w:r>
    </w:p>
    <w:p>
      <w:pPr>
        <w:spacing w:after="0" w:line="20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PAA’s business is based on the fundamental thesis that hydrocarbons are essential to the security and advancement of human quality of life and will continue to play a major long-term role in the world economy. We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As a result, we believe that hydrocarbon energy infrastructure will remain critical and valuable.</w:t>
      </w:r>
    </w:p>
    <w:p>
      <w:pPr>
        <w:spacing w:after="0" w:line="18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NGL and natural gas.</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PAA’s operations are conducted directly and indirectly through its primary operating subsidiaries, which comprise 100% of the assets and operations affiliated with PAA and its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diagram below shows our organizational structure as of December 31, 2020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183515</wp:posOffset>
            </wp:positionV>
            <wp:extent cx="5863590" cy="7218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72180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2288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hanging="11"/>
        <w:spacing w:after="0" w:line="296" w:lineRule="auto"/>
        <w:rPr>
          <w:sz w:val="20"/>
          <w:szCs w:val="20"/>
          <w:color w:val="auto"/>
        </w:rPr>
      </w:pPr>
      <w:r>
        <w:rPr>
          <w:rFonts w:ascii="Arial" w:cs="Arial" w:eastAsia="Arial" w:hAnsi="Arial"/>
          <w:sz w:val="16"/>
          <w:szCs w:val="16"/>
          <w:color w:val="auto"/>
        </w:rPr>
        <w:t>Each Class C share represents a non-economic limited partner interest in us. The number of Class C shares that PAA owns is equal to the number of outstanding PAA common units and Series A Preferred units (“Common Unit Equivalents”) that are entitled to vote, pro rata with the holders of our Class A and Class B shares, for the election of eligible PAGP GP directors. The Class C shares function as a “pass-through” voting mechanism through which PAA votes at the direction of and as proxy for the PAA common unitholders and Series A preferred unitholders in such director elections. PAA common units held by AAP and PAA Series B preferred units are not entitled to vote in the election of directors.</w:t>
      </w:r>
    </w:p>
    <w:p>
      <w:pPr>
        <w:spacing w:after="0" w:line="53" w:lineRule="exact"/>
        <w:rPr>
          <w:sz w:val="20"/>
          <w:szCs w:val="20"/>
          <w:color w:val="auto"/>
        </w:rPr>
      </w:pPr>
    </w:p>
    <w:p>
      <w:pPr>
        <w:ind w:hanging="11"/>
        <w:spacing w:after="0" w:line="257" w:lineRule="auto"/>
        <w:rPr>
          <w:sz w:val="20"/>
          <w:szCs w:val="20"/>
          <w:color w:val="auto"/>
        </w:rPr>
      </w:pPr>
      <w:r>
        <w:rPr>
          <w:rFonts w:ascii="Arial" w:cs="Arial" w:eastAsia="Arial" w:hAnsi="Arial"/>
          <w:sz w:val="18"/>
          <w:szCs w:val="18"/>
          <w:color w:val="auto"/>
        </w:rPr>
        <w:t>PAA holds (i) direct and indirect ownership interests in consolidated operating subsidiaries including, but not limited to, Plains Marketing, L.P., Plains Pipeline, L.P., Plains Midstream Canada ULC (“PMCULC”) and PAA Natural Gas Storage, L.P. and (ii) indirect equity interests in unconsolidated entities including, but not limited to, BridgeTex Pipeline Company, LLC, Cactus II Pipeline LLC, Capline Pipeline Company LLC, Diamond Pipeline LLC, Eagle Ford Pipeline LLC, Eagle Ford Terminals Corpus Christi LLC, Saddlehorn Pipeline Company, LLC, STACK Pipeline LLC, White Cliffs Pipeline, L.L.C. and Wink to Webster Pipeline LLC.</w:t>
      </w:r>
    </w:p>
    <w:p>
      <w:pPr>
        <w:spacing w:after="0" w:line="200" w:lineRule="exact"/>
        <w:rPr>
          <w:sz w:val="20"/>
          <w:szCs w:val="20"/>
          <w:color w:val="auto"/>
        </w:rPr>
      </w:pPr>
    </w:p>
    <w:p>
      <w:pPr>
        <w:sectPr>
          <w:pgSz w:w="11900" w:h="16838" w:orient="portrait"/>
          <w:cols w:equalWidth="0" w:num="2">
            <w:col w:w="140" w:space="520"/>
            <w:col w:w="10580"/>
          </w:cols>
          <w:pgMar w:left="320" w:top="130"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5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Unless we directly acquire and hold assets or businesses in the future, our cash flows will be generated solely from the cash distributions we receive on the Class A units of AAP (“AAP units”) we directly and indirectly own. AAP currently receives all of its cash flows from distributions on the PAA common units it owns.</w:t>
      </w:r>
    </w:p>
    <w:p>
      <w:pPr>
        <w:spacing w:after="0" w:line="2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maintain a one-to-one relationship between our Class A shares and the underlying PAA common units in which we have an indirect economic interest through our ownership interests in AAP and GP LLC (referred to as “Economic Parity”), such that the number of our outstanding Class A shares equals the number of AAP units we directly and indirectly own, which in turn equals the number of PAA common units held by AAP attributable to our direct and indirect ownership interest in 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Business Strategy</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supply, logistics and distribution expertise. PAA intends to execute its strategy by:</w:t>
      </w:r>
    </w:p>
    <w:p>
      <w:pPr>
        <w:spacing w:after="0" w:line="7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Focusing on operational excellence, continuous improvement and running a safe, reliable, environmentally and socially responsible operation;</w:t>
      </w:r>
    </w:p>
    <w:p>
      <w:pPr>
        <w:spacing w:after="0" w:line="140" w:lineRule="exact"/>
        <w:rPr>
          <w:rFonts w:ascii="Arial" w:cs="Arial" w:eastAsia="Arial" w:hAnsi="Arial"/>
          <w:sz w:val="16"/>
          <w:szCs w:val="16"/>
          <w:color w:val="auto"/>
        </w:rPr>
      </w:pPr>
    </w:p>
    <w:p>
      <w:pPr>
        <w:ind w:left="980" w:right="300" w:hanging="324"/>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its well positioned network of midstream infrastructure in conjunction with its commercial capabilities to provide market access, flexibility and value chain solutions to its customers, capture market opportunities, address physical market imbalances, mitigate risks and generate sustainable cash flow and margin;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Optimizing its asset portfolio and operations to maximize returns on invested capital; and</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believe PAA’s successful execution of this strategy will enable it to generate sustainable earnings and cash flow, and will position PAA to reduce leverage and maintain an investment grade credit profile while increasing returns to equity holders over time.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Competitive Strengths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117" w:lineRule="exact"/>
        <w:rPr>
          <w:sz w:val="20"/>
          <w:szCs w:val="20"/>
          <w:color w:val="auto"/>
        </w:rPr>
      </w:pPr>
    </w:p>
    <w:p>
      <w:pPr>
        <w:ind w:left="980" w:right="80" w:hanging="324"/>
        <w:spacing w:after="0" w:line="272" w:lineRule="auto"/>
        <w:tabs>
          <w:tab w:leader="none" w:pos="97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Strategically located, geographically diverse and interconnected asset base that provides operational flexibility and commercial optionality. </w:t>
      </w:r>
      <w:r>
        <w:rPr>
          <w:rFonts w:ascii="Arial" w:cs="Arial" w:eastAsia="Arial" w:hAnsi="Arial"/>
          <w:sz w:val="17"/>
          <w:szCs w:val="17"/>
          <w:color w:val="auto"/>
        </w:rPr>
        <w:t>The majority of PAA’s primary Transportation segment assets are in crude oil service, are located in well-established crude oil producing regions (with PAA’s largest asset presence in the Permian Basin)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pipeline, rail, barge, truck and storage assets provide PAA’s customers and PAA with significant flexibility and optionality to satisfy demand and balance markets.</w:t>
      </w:r>
    </w:p>
    <w:p>
      <w:pPr>
        <w:spacing w:after="0" w:line="123" w:lineRule="exact"/>
        <w:rPr>
          <w:rFonts w:ascii="Arial" w:cs="Arial" w:eastAsia="Arial" w:hAnsi="Arial"/>
          <w:sz w:val="17"/>
          <w:szCs w:val="17"/>
          <w:i w:val="1"/>
          <w:iCs w:val="1"/>
          <w:color w:val="auto"/>
        </w:rPr>
      </w:pPr>
    </w:p>
    <w:p>
      <w:pPr>
        <w:ind w:left="980" w:right="20" w:hanging="324"/>
        <w:spacing w:after="0" w:line="273"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Full-service integrated model and long-term focus attracts broad, diverse and high-quality customer base that supports sustainable fee-based cash flow generation. </w:t>
      </w:r>
      <w:r>
        <w:rPr>
          <w:rFonts w:ascii="Arial" w:cs="Arial" w:eastAsia="Arial" w:hAnsi="Arial"/>
          <w:sz w:val="17"/>
          <w:szCs w:val="17"/>
          <w:color w:val="auto"/>
        </w:rPr>
        <w:t>PAA’s strategically located and interconnected asset base enables it to provide its customers with a wide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23" w:lineRule="exact"/>
        <w:rPr>
          <w:rFonts w:ascii="Arial" w:cs="Arial" w:eastAsia="Arial" w:hAnsi="Arial"/>
          <w:sz w:val="17"/>
          <w:szCs w:val="17"/>
          <w:color w:val="auto"/>
        </w:rPr>
      </w:pPr>
    </w:p>
    <w:p>
      <w:pPr>
        <w:ind w:left="980" w:hanging="324"/>
        <w:spacing w:after="0" w:line="279" w:lineRule="auto"/>
        <w:tabs>
          <w:tab w:leader="none" w:pos="97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possesses specialized crude oil and NGL market knowledge. </w:t>
      </w:r>
      <w:r>
        <w:rPr>
          <w:rFonts w:ascii="Arial" w:cs="Arial" w:eastAsia="Arial" w:hAnsi="Arial"/>
          <w:sz w:val="17"/>
          <w:szCs w:val="17"/>
          <w:color w:val="auto"/>
        </w:rPr>
        <w:t>We believe PAA’s business relationships with participants in various phases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17" w:lineRule="exact"/>
        <w:rPr>
          <w:rFonts w:ascii="Arial" w:cs="Arial" w:eastAsia="Arial" w:hAnsi="Arial"/>
          <w:sz w:val="17"/>
          <w:szCs w:val="17"/>
          <w:i w:val="1"/>
          <w:iCs w:val="1"/>
          <w:color w:val="auto"/>
        </w:rPr>
      </w:pPr>
    </w:p>
    <w:p>
      <w:pPr>
        <w:ind w:left="980" w:right="120" w:hanging="324"/>
        <w:spacing w:after="0" w:line="286" w:lineRule="auto"/>
        <w:tabs>
          <w:tab w:leader="none" w:pos="97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PAA’s supply and logistics activities provide it with the opportunity to realize incremental margins. </w:t>
      </w:r>
      <w:r>
        <w:rPr>
          <w:rFonts w:ascii="Arial" w:cs="Arial" w:eastAsia="Arial" w:hAnsi="Arial"/>
          <w:sz w:val="17"/>
          <w:szCs w:val="17"/>
          <w:color w:val="auto"/>
        </w:rPr>
        <w:t>We believe the variety of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within PAA’s Supply and Logistics segment provides PAA with a low-risk opportunity to generate incremental margin, the amount of which may vary depending on market conditions (such as differentials and certain competitive factors).</w:t>
      </w:r>
    </w:p>
    <w:p>
      <w:pPr>
        <w:spacing w:after="0" w:line="111" w:lineRule="exact"/>
        <w:rPr>
          <w:rFonts w:ascii="Arial" w:cs="Arial" w:eastAsia="Arial" w:hAnsi="Arial"/>
          <w:sz w:val="17"/>
          <w:szCs w:val="17"/>
          <w:i w:val="1"/>
          <w:iCs w:val="1"/>
          <w:color w:val="auto"/>
        </w:rPr>
      </w:pPr>
    </w:p>
    <w:p>
      <w:pPr>
        <w:ind w:left="980" w:hanging="324"/>
        <w:spacing w:after="0" w:line="272" w:lineRule="auto"/>
        <w:tabs>
          <w:tab w:leader="none" w:pos="97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has the strategic and technical skills needed to execute strategic transactions that support its business and financial objectives, including joint ventures, joint ownership arrangements and divestitures. </w:t>
      </w:r>
      <w:r>
        <w:rPr>
          <w:rFonts w:ascii="Arial" w:cs="Arial" w:eastAsia="Arial" w:hAnsi="Arial"/>
          <w:sz w:val="17"/>
          <w:szCs w:val="17"/>
          <w:color w:val="auto"/>
        </w:rPr>
        <w:t>Since 2016, PAA has consummated over 10 joint venture and/or joint</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arrangements and completed over $3 billion of divestitures of non-core assets and/or strategic sales of partial interests in selected assets. In addition, although acquisitions and investment capital projects are not currently a focus area, the strategic and technical skills needed to complete such transactions are very similar to those needed for other strategic transactions and since its initial public offering, PAA has completed and integrated over 90 acquisitions with an aggregate purchase price of approximately $13.7 billion, and PAA has also implemented investment capital projects totaling approximately $16.7 billion.</w:t>
      </w:r>
    </w:p>
    <w:p>
      <w:pPr>
        <w:spacing w:after="0" w:line="123" w:lineRule="exact"/>
        <w:rPr>
          <w:rFonts w:ascii="Arial" w:cs="Arial" w:eastAsia="Arial" w:hAnsi="Arial"/>
          <w:sz w:val="17"/>
          <w:szCs w:val="17"/>
          <w:i w:val="1"/>
          <w:iCs w:val="1"/>
          <w:color w:val="auto"/>
        </w:rPr>
      </w:pPr>
    </w:p>
    <w:p>
      <w:pPr>
        <w:ind w:left="980" w:right="160" w:hanging="324"/>
        <w:spacing w:after="0" w:line="279" w:lineRule="auto"/>
        <w:tabs>
          <w:tab w:leader="none" w:pos="97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has an experienced management team whose interests are aligned with those of its unitholders. </w:t>
      </w:r>
      <w:r>
        <w:rPr>
          <w:rFonts w:ascii="Arial" w:cs="Arial" w:eastAsia="Arial" w:hAnsi="Arial"/>
          <w:sz w:val="17"/>
          <w:szCs w:val="17"/>
          <w:color w:val="auto"/>
        </w:rPr>
        <w:t>PAA’s executive management team has</w:t>
      </w:r>
      <w:r>
        <w:rPr>
          <w:rFonts w:ascii="Arial" w:cs="Arial" w:eastAsia="Arial" w:hAnsi="Arial"/>
          <w:sz w:val="17"/>
          <w:szCs w:val="17"/>
          <w:i w:val="1"/>
          <w:iCs w:val="1"/>
          <w:color w:val="auto"/>
        </w:rPr>
        <w:t xml:space="preserve"> </w:t>
      </w:r>
      <w:r>
        <w:rPr>
          <w:rFonts w:ascii="Arial" w:cs="Arial" w:eastAsia="Arial" w:hAnsi="Arial"/>
          <w:sz w:val="17"/>
          <w:szCs w:val="17"/>
          <w:color w:val="auto"/>
        </w:rPr>
        <w:t>an average of 30 years of experience spanning across all sectors of the energy industry, as well as investment banking, and an average of 14 years with PAA or its predecessors and affiliates. In addition, through their ownership of PAA common units and grants of phantom units, PAA’s management team has a vested interest in PAA’s continued success.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5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financial strategy is designed to be complementary to PAA’s financial and business strategies. Our only cash-generating assets consist of our direct and indirect limited partner interests in AAP, which currently receives all of its cash flows from distributions on the PAA common units it owns.</w:t>
      </w:r>
    </w:p>
    <w:p>
      <w:pPr>
        <w:spacing w:after="0" w:line="15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198"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believe that a major factor in PAA’s continued success is its ability to maintain significant financial flexibility. An important part of PAA’s financial strategy is its commitment to generating positive free cash flow after distributions with a continued priority on deleveraging while also prudently increasing cash returned to its unitholders.</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that regard, PAA intends to maintain a credit profile that it believes is consistent with investment grade credit ratings. PAA targets a credit profile with the following attributes:</w:t>
      </w:r>
    </w:p>
    <w:p>
      <w:pPr>
        <w:spacing w:after="0" w:line="197" w:lineRule="exact"/>
        <w:rPr>
          <w:sz w:val="20"/>
          <w:szCs w:val="20"/>
          <w:color w:val="auto"/>
        </w:rPr>
      </w:pPr>
    </w:p>
    <w:p>
      <w:pPr>
        <w:ind w:left="980" w:right="240" w:hanging="324"/>
        <w:spacing w:after="0" w:line="286"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long-term debt-to-Adjusted EBITDA multiple averaging between 3.0x and 3.5x (See Item 7. “Management’s Discussion and Analysis of Financial Condition and Results of Operations—Results of Operations—Non-GAAP Financial Measures” for our definition of Adjusted EBITDA and a discussion of our selected items that impact comparability and our non-GAAP measures.);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36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but do not include certain components of PAA’s capital structure such as short-term debt, preferred units and operating leases that may be considered by rating agencies in assigning their ratings. At December 31, 2020, PAA’s publicly-traded senior notes comprised approximately 97% of its long-term debt. Additionally, PAA also routinely incurs short-term debt primarily in connection with its supply and logistics activities that involve the simultaneous purchase and forward sale of crude oil and NGL. The crude oil and NGL purchased in these transactions are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Values and Sustainability</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Core Values include Safety and Environmental Stewardship, Accountability, Ethics and Integrity and Respect and Fairness. Our Code of Business Conduct sets forth the ways in which these Core Values govern how we and PAA conduct ourselves and engage in business relationships. Additional information regarding our Core Values and our commitment to environmental and social responsibility is available in the Sustainability section of our website. See “—Available Information” below.</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PAA is continuously engaged in the evaluation of potential transactions that support its current business strategy. While in the past such transactions have included acquisitions and large capital projects, consistent with PAA’s current strategic focus on capital discipline, leverage reduction, portfolio optimization and free cash flow generation, PAA is currently primarily focused on evaluating whether it should (i) sell assets that it regards as non-core or that it believes might be a better fit with the business and/or assets of a third-party buyer or (ii) sell partial interests in assets to strategic joint venture partners, in each case to optimize PAA’s asset portfolio and strengthen its balance sheet and leverage metrics. With respect to a potential divestiture, PAA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efforts with respect to any such transactions will be successful, and PAA can provide no assurance that its financial expectations with respect to such transactions will ultimately be realized. See Item 1A. “Risk Factors— Risks Related to PAA’s Business—Divestitures, joint ventures, joint ownership arrangements and acquisitions involve risks that may adversely affect PAA’s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Joint Venture and Joint Ownership Arrangements</w:t>
      </w:r>
    </w:p>
    <w:p>
      <w:pPr>
        <w:spacing w:after="0" w:line="252"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PAA is party to over 25 joint venture (“JV”) and undivided joint interest (“UJI”) arrangements with long-term partners throughout the industry value chain spanning across multiple North American basins. We believe that these capital-efficient arrangements provide strategic alignment with long-term industry partners, adding volume commitments to the systems and improving returns.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PAA’s significant JVs as of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JV</w:t>
            </w:r>
          </w:p>
        </w:tc>
        <w:tc>
          <w:tcPr>
            <w:tcW w:w="0" w:type="dxa"/>
            <w:vAlign w:val="bottom"/>
          </w:tcPr>
          <w:p>
            <w:pPr>
              <w:spacing w:after="0"/>
              <w:rPr>
                <w:sz w:val="1"/>
                <w:szCs w:val="1"/>
                <w:color w:val="auto"/>
              </w:rPr>
            </w:pPr>
          </w:p>
        </w:tc>
      </w:tr>
      <w:tr>
        <w:trPr>
          <w:trHeight w:val="135"/>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3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Type of Operation</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89"/>
        </w:trPr>
        <w:tc>
          <w:tcPr>
            <w:tcW w:w="5960" w:type="dxa"/>
            <w:vAlign w:val="bottom"/>
            <w:gridSpan w:val="2"/>
            <w:vMerge w:val="continue"/>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36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364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88"/>
              </w:rPr>
              <w:t xml:space="preserve">Crude Oil Pipeline </w:t>
            </w:r>
            <w:r>
              <w:rPr>
                <w:rFonts w:ascii="Arial" w:cs="Arial" w:eastAsia="Arial" w:hAnsi="Arial"/>
                <w:sz w:val="23"/>
                <w:szCs w:val="23"/>
                <w:color w:val="auto"/>
                <w:w w:val="88"/>
                <w:vertAlign w:val="superscript"/>
              </w:rPr>
              <w:t>(3)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36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364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36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Terminal and Dock </w:t>
            </w:r>
            <w:r>
              <w:rPr>
                <w:rFonts w:ascii="Arial" w:cs="Arial" w:eastAsia="Arial" w:hAnsi="Arial"/>
                <w:sz w:val="23"/>
                <w:szCs w:val="23"/>
                <w:color w:val="auto"/>
                <w:w w:val="91"/>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Red River Pipeline Company LLC </w:t>
            </w:r>
            <w:r>
              <w:rPr>
                <w:rFonts w:ascii="Arial" w:cs="Arial" w:eastAsia="Arial" w:hAnsi="Arial"/>
                <w:sz w:val="23"/>
                <w:szCs w:val="23"/>
                <w:color w:val="auto"/>
                <w:vertAlign w:val="superscript"/>
              </w:rPr>
              <w:t>(4) (5)</w:t>
            </w:r>
          </w:p>
        </w:tc>
        <w:tc>
          <w:tcPr>
            <w:tcW w:w="364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Saddlehorn Pipeline Company, LLC </w:t>
            </w:r>
            <w:r>
              <w:rPr>
                <w:rFonts w:ascii="Arial" w:cs="Arial" w:eastAsia="Arial" w:hAnsi="Arial"/>
                <w:sz w:val="23"/>
                <w:szCs w:val="23"/>
                <w:color w:val="auto"/>
                <w:vertAlign w:val="superscript"/>
              </w:rPr>
              <w:t>(4)</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364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88"/>
              </w:rPr>
              <w:t xml:space="preserve">Crude Oil Pipeline </w:t>
            </w:r>
            <w:r>
              <w:rPr>
                <w:rFonts w:ascii="Arial" w:cs="Arial" w:eastAsia="Arial" w:hAnsi="Arial"/>
                <w:sz w:val="23"/>
                <w:szCs w:val="23"/>
                <w:color w:val="auto"/>
                <w:w w:val="88"/>
                <w:vertAlign w:val="superscript"/>
              </w:rPr>
              <w:t>(2)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Wink to Webster Pipeline LLC </w:t>
            </w:r>
            <w:r>
              <w:rPr>
                <w:rFonts w:ascii="Arial" w:cs="Arial" w:eastAsia="Arial" w:hAnsi="Arial"/>
                <w:sz w:val="23"/>
                <w:szCs w:val="23"/>
                <w:color w:val="auto"/>
                <w:vertAlign w:val="superscript"/>
              </w:rPr>
              <w:t>(4)</w:t>
            </w:r>
          </w:p>
        </w:tc>
        <w:tc>
          <w:tcPr>
            <w:tcW w:w="3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459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Entity owns a UJI in the crude oil pipeline.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consolidate Red River Pipeline Company LLC based on control, with our partner’s 33% interest accounted for as a noncontrolling interest.</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PAA’s significant UJIs as of December 31, 2020, excluding UJIs that are indirectly owned by PAA through JVs (e.g., Wink to Webster, Saddlehorn and Red River JVs):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UJI</w:t>
            </w:r>
          </w:p>
        </w:tc>
        <w:tc>
          <w:tcPr>
            <w:tcW w:w="0" w:type="dxa"/>
            <w:vAlign w:val="bottom"/>
          </w:tcPr>
          <w:p>
            <w:pPr>
              <w:spacing w:after="0"/>
              <w:rPr>
                <w:sz w:val="1"/>
                <w:szCs w:val="1"/>
                <w:color w:val="auto"/>
              </w:rPr>
            </w:pPr>
          </w:p>
        </w:tc>
      </w:tr>
      <w:tr>
        <w:trPr>
          <w:trHeight w:val="135"/>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3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Operating Segment</w:t>
            </w:r>
          </w:p>
        </w:tc>
        <w:tc>
          <w:tcPr>
            <w:tcW w:w="196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88"/>
        </w:trPr>
        <w:tc>
          <w:tcPr>
            <w:tcW w:w="50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Operation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24"/>
        </w:trPr>
        <w:tc>
          <w:tcPr>
            <w:tcW w:w="5820" w:type="dxa"/>
            <w:vAlign w:val="bottom"/>
            <w:tcBorders>
              <w:top w:val="single" w:sz="8" w:color="auto"/>
            </w:tcBorders>
            <w:gridSpan w:val="3"/>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Basin Pipeline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Transportation</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87%</w:t>
            </w:r>
          </w:p>
        </w:tc>
        <w:tc>
          <w:tcPr>
            <w:tcW w:w="0" w:type="dxa"/>
            <w:vAlign w:val="bottom"/>
          </w:tcPr>
          <w:p>
            <w:pPr>
              <w:spacing w:after="0"/>
              <w:rPr>
                <w:sz w:val="1"/>
                <w:szCs w:val="1"/>
                <w:color w:val="auto"/>
              </w:rPr>
            </w:pPr>
          </w:p>
        </w:tc>
      </w:tr>
      <w:tr>
        <w:trPr>
          <w:trHeight w:val="229"/>
        </w:trPr>
        <w:tc>
          <w:tcPr>
            <w:tcW w:w="59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Empress Processing </w:t>
            </w:r>
            <w:r>
              <w:rPr>
                <w:rFonts w:ascii="Arial" w:cs="Arial" w:eastAsia="Arial" w:hAnsi="Arial"/>
                <w:sz w:val="23"/>
                <w:szCs w:val="23"/>
                <w:color w:val="auto"/>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50% to 88%</w:t>
            </w:r>
          </w:p>
        </w:tc>
        <w:tc>
          <w:tcPr>
            <w:tcW w:w="0" w:type="dxa"/>
            <w:vAlign w:val="bottom"/>
          </w:tcPr>
          <w:p>
            <w:pPr>
              <w:spacing w:after="0"/>
              <w:rPr>
                <w:sz w:val="1"/>
                <w:szCs w:val="1"/>
                <w:color w:val="auto"/>
              </w:rPr>
            </w:pPr>
          </w:p>
        </w:tc>
      </w:tr>
      <w:tr>
        <w:trPr>
          <w:trHeight w:val="229"/>
        </w:trPr>
        <w:tc>
          <w:tcPr>
            <w:tcW w:w="59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Ft. Saskatchewan NGL Storage and Fractionation </w:t>
            </w:r>
            <w:r>
              <w:rPr>
                <w:rFonts w:ascii="Arial" w:cs="Arial" w:eastAsia="Arial" w:hAnsi="Arial"/>
                <w:sz w:val="23"/>
                <w:szCs w:val="23"/>
                <w:color w:val="auto"/>
                <w:vertAlign w:val="superscript"/>
              </w:rPr>
              <w:t>(2)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 to 48%</w:t>
            </w:r>
          </w:p>
        </w:tc>
        <w:tc>
          <w:tcPr>
            <w:tcW w:w="0" w:type="dxa"/>
            <w:vAlign w:val="bottom"/>
          </w:tcPr>
          <w:p>
            <w:pPr>
              <w:spacing w:after="0"/>
              <w:rPr>
                <w:sz w:val="1"/>
                <w:szCs w:val="1"/>
                <w:color w:val="auto"/>
              </w:rPr>
            </w:pPr>
          </w:p>
        </w:tc>
      </w:tr>
      <w:tr>
        <w:trPr>
          <w:trHeight w:val="230"/>
        </w:trPr>
        <w:tc>
          <w:tcPr>
            <w:tcW w:w="59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Western Corridor System </w:t>
            </w:r>
            <w:r>
              <w:rPr>
                <w:rFonts w:ascii="Arial" w:cs="Arial" w:eastAsia="Arial" w:hAnsi="Arial"/>
                <w:sz w:val="23"/>
                <w:szCs w:val="23"/>
                <w:color w:val="auto"/>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 to 58%</w:t>
            </w:r>
          </w:p>
        </w:tc>
        <w:tc>
          <w:tcPr>
            <w:tcW w:w="0" w:type="dxa"/>
            <w:vAlign w:val="bottom"/>
          </w:tcPr>
          <w:p>
            <w:pPr>
              <w:spacing w:after="0"/>
              <w:rPr>
                <w:sz w:val="1"/>
                <w:szCs w:val="1"/>
                <w:color w:val="auto"/>
              </w:rPr>
            </w:pPr>
          </w:p>
        </w:tc>
      </w:tr>
      <w:tr>
        <w:trPr>
          <w:trHeight w:val="229"/>
        </w:trPr>
        <w:tc>
          <w:tcPr>
            <w:tcW w:w="59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Sarnia NGL Storage and Fractionation </w:t>
            </w:r>
            <w:r>
              <w:rPr>
                <w:rFonts w:ascii="Arial" w:cs="Arial" w:eastAsia="Arial" w:hAnsi="Arial"/>
                <w:sz w:val="23"/>
                <w:szCs w:val="23"/>
                <w:color w:val="auto"/>
                <w:vertAlign w:val="superscript"/>
              </w:rPr>
              <w:t>(2)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 to 84%</w:t>
            </w:r>
          </w:p>
        </w:tc>
        <w:tc>
          <w:tcPr>
            <w:tcW w:w="0" w:type="dxa"/>
            <w:vAlign w:val="bottom"/>
          </w:tcPr>
          <w:p>
            <w:pPr>
              <w:spacing w:after="0"/>
              <w:rPr>
                <w:sz w:val="1"/>
                <w:szCs w:val="1"/>
                <w:color w:val="auto"/>
              </w:rPr>
            </w:pPr>
          </w:p>
        </w:tc>
      </w:tr>
      <w:tr>
        <w:trPr>
          <w:trHeight w:val="304"/>
        </w:trPr>
        <w:tc>
          <w:tcPr>
            <w:tcW w:w="5920" w:type="dxa"/>
            <w:vAlign w:val="bottom"/>
            <w:gridSpan w:val="4"/>
          </w:tcPr>
          <w:p>
            <w:pPr>
              <w:ind w:left="20"/>
              <w:spacing w:after="0"/>
              <w:rPr>
                <w:sz w:val="20"/>
                <w:szCs w:val="20"/>
                <w:color w:val="auto"/>
              </w:rPr>
            </w:pPr>
            <w:r>
              <w:rPr>
                <w:rFonts w:ascii="Arial" w:cs="Arial" w:eastAsia="Arial" w:hAnsi="Arial"/>
                <w:sz w:val="18"/>
                <w:szCs w:val="18"/>
                <w:color w:val="auto"/>
              </w:rPr>
              <w:t xml:space="preserve">Sunrise II Pipeline </w:t>
            </w:r>
            <w:r>
              <w:rPr>
                <w:rFonts w:ascii="Arial" w:cs="Arial" w:eastAsia="Arial" w:hAnsi="Arial"/>
                <w:sz w:val="23"/>
                <w:szCs w:val="23"/>
                <w:color w:val="auto"/>
                <w:vertAlign w:val="superscript"/>
              </w:rPr>
              <w:t>(1)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357"/>
        </w:trPr>
        <w:tc>
          <w:tcPr>
            <w:tcW w:w="5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2"/>
                <w:szCs w:val="12"/>
                <w:color w:val="auto"/>
              </w:rPr>
              <w:t>(1)</w:t>
            </w:r>
          </w:p>
        </w:tc>
        <w:tc>
          <w:tcPr>
            <w:tcW w:w="5420" w:type="dxa"/>
            <w:vAlign w:val="bottom"/>
            <w:gridSpan w:val="3"/>
            <w:vMerge w:val="restart"/>
          </w:tcPr>
          <w:p>
            <w:pPr>
              <w:ind w:left="140"/>
              <w:spacing w:after="0"/>
              <w:rPr>
                <w:sz w:val="20"/>
                <w:szCs w:val="20"/>
                <w:color w:val="auto"/>
              </w:rPr>
            </w:pPr>
            <w:r>
              <w:rPr>
                <w:rFonts w:ascii="Arial" w:cs="Arial" w:eastAsia="Arial" w:hAnsi="Arial"/>
                <w:sz w:val="18"/>
                <w:szCs w:val="18"/>
                <w:color w:val="auto"/>
              </w:rPr>
              <w:t>Asset is operated by Plains.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00" w:type="dxa"/>
            <w:vAlign w:val="bottom"/>
          </w:tcPr>
          <w:p>
            <w:pPr>
              <w:spacing w:after="0"/>
              <w:rPr>
                <w:sz w:val="7"/>
                <w:szCs w:val="7"/>
                <w:color w:val="auto"/>
              </w:rPr>
            </w:pPr>
          </w:p>
        </w:tc>
        <w:tc>
          <w:tcPr>
            <w:tcW w:w="5420" w:type="dxa"/>
            <w:vAlign w:val="bottom"/>
            <w:gridSpan w:val="3"/>
            <w:vMerge w:val="continue"/>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0" w:type="dxa"/>
            <w:vAlign w:val="bottom"/>
          </w:tcPr>
          <w:p>
            <w:pPr>
              <w:spacing w:after="0"/>
              <w:rPr>
                <w:sz w:val="20"/>
                <w:szCs w:val="20"/>
                <w:color w:val="auto"/>
              </w:rPr>
            </w:pPr>
            <w:r>
              <w:rPr>
                <w:rFonts w:ascii="Arial" w:cs="Arial" w:eastAsia="Arial" w:hAnsi="Arial"/>
                <w:sz w:val="12"/>
                <w:szCs w:val="12"/>
                <w:color w:val="auto"/>
              </w:rPr>
              <w:t>(2)</w:t>
            </w:r>
          </w:p>
        </w:tc>
        <w:tc>
          <w:tcPr>
            <w:tcW w:w="3540" w:type="dxa"/>
            <w:vAlign w:val="bottom"/>
            <w:vMerge w:val="restart"/>
          </w:tcPr>
          <w:p>
            <w:pPr>
              <w:ind w:left="240"/>
              <w:spacing w:after="0"/>
              <w:rPr>
                <w:sz w:val="20"/>
                <w:szCs w:val="20"/>
                <w:color w:val="auto"/>
              </w:rPr>
            </w:pPr>
            <w:r>
              <w:rPr>
                <w:rFonts w:ascii="Arial" w:cs="Arial" w:eastAsia="Arial" w:hAnsi="Arial"/>
                <w:sz w:val="18"/>
                <w:szCs w:val="18"/>
                <w:color w:val="auto"/>
                <w:w w:val="87"/>
              </w:rPr>
              <w:t>Certain of these assets are operated by Plains.</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PAA’s Acquisitions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Since PAA’s initial public offering in 1998, the acquisition of midstream assets and businesses has been an important component of its business strategy. Over the last five years, PAA completed several acquisitions for an aggregate of approximately $2.0 billion, the majority of which related to an acquisition in 2017. While the pace of PAA’s acquisition activity has slowed down in recent years, it continues to selectively analyze and pursue assets and businesses that are strategic and complementary to PAA’s existing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Divestitures</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2016, PAA initiated a program to evaluate potential sales of non-core assets and/or sales of partial interests in assets to strategic joint venture partners to optimize its asset portfolio and strengthen its balance sheet and leverage metrics. Through December 31, 2020, PAA has completed asset sales totaling more than $3 billion.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Investment Capital Projects</w:t>
      </w:r>
    </w:p>
    <w:p>
      <w:pPr>
        <w:spacing w:after="0" w:line="25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PAA’s extensive asset base and its relationships with long-term industry partners across the value chain provide it with opportunities for organic growth through the construction of additional assets that are complementary to, and expand or extend, its existing asset base. PAA’s 2021 capital plan consists of capital-efficient, highly contracted projects that help address industry needs. Substantially all of the capital will be invested in PAA’s fee-based Transportation and Facilities segments. The following investment capital projects are included in PAA’s 2021 capital plan as of February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Projected</w:t>
            </w:r>
          </w:p>
        </w:tc>
        <w:tc>
          <w:tcPr>
            <w:tcW w:w="18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2021 Plan</w:t>
            </w:r>
          </w:p>
        </w:tc>
        <w:tc>
          <w:tcPr>
            <w:tcW w:w="0" w:type="dxa"/>
            <w:vAlign w:val="bottom"/>
          </w:tcPr>
          <w:p>
            <w:pPr>
              <w:spacing w:after="0"/>
              <w:rPr>
                <w:sz w:val="1"/>
                <w:szCs w:val="1"/>
                <w:color w:val="auto"/>
              </w:rPr>
            </w:pPr>
          </w:p>
        </w:tc>
      </w:tr>
      <w:tr>
        <w:trPr>
          <w:trHeight w:val="135"/>
        </w:trPr>
        <w:tc>
          <w:tcPr>
            <w:tcW w:w="302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Project</w:t>
            </w:r>
          </w:p>
        </w:tc>
        <w:tc>
          <w:tcPr>
            <w:tcW w:w="530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2"/>
                <w:szCs w:val="12"/>
                <w:b w:val="1"/>
                <w:bCs w:val="1"/>
                <w:color w:val="auto"/>
              </w:rPr>
              <w:t xml:space="preserve">Amount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88"/>
        </w:trPr>
        <w:tc>
          <w:tcPr>
            <w:tcW w:w="3020" w:type="dxa"/>
            <w:vAlign w:val="bottom"/>
            <w:gridSpan w:val="2"/>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In-Service Date</w:t>
            </w:r>
          </w:p>
        </w:tc>
        <w:tc>
          <w:tcPr>
            <w:tcW w:w="18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70"/>
        </w:trPr>
        <w:tc>
          <w:tcPr>
            <w:tcW w:w="29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Permian Basin Takeaway Pipeline</w:t>
            </w:r>
          </w:p>
        </w:tc>
        <w:tc>
          <w:tcPr>
            <w:tcW w:w="10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Primarily includes contributions for our interest in the Wink to Webster</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2021 - 2022+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JV pipeline</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line="176" w:lineRule="exact"/>
              <w:rPr>
                <w:sz w:val="20"/>
                <w:szCs w:val="20"/>
                <w:color w:val="auto"/>
              </w:rPr>
            </w:pPr>
            <w:r>
              <w:rPr>
                <w:rFonts w:ascii="Arial" w:cs="Arial" w:eastAsia="Arial" w:hAnsi="Arial"/>
                <w:sz w:val="18"/>
                <w:szCs w:val="18"/>
                <w:color w:val="auto"/>
              </w:rPr>
              <w:t>Long-Haul Pipeline Projects (Non-</w:t>
            </w:r>
          </w:p>
        </w:tc>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Primarily includes contributions for our interests in the Diamond JV</w:t>
            </w:r>
          </w:p>
        </w:tc>
        <w:tc>
          <w:tcPr>
            <w:tcW w:w="14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1H 2021 - 2022</w:t>
            </w:r>
          </w:p>
        </w:tc>
        <w:tc>
          <w:tcPr>
            <w:tcW w:w="1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Permian)</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pipeline expansion / Capline JV pipeline reversal</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Complementary Permian Basin</w:t>
            </w:r>
          </w:p>
        </w:tc>
        <w:tc>
          <w:tcPr>
            <w:tcW w:w="5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Multiple projects to support the Permian Basin takeaway pipeline</w:t>
            </w:r>
          </w:p>
        </w:tc>
        <w:tc>
          <w:tcPr>
            <w:tcW w:w="14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1H 2020 - 2021+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projects, and to expand/extend our gathering and intra-basin pipelines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line="176" w:lineRule="exact"/>
              <w:rPr>
                <w:sz w:val="20"/>
                <w:szCs w:val="20"/>
                <w:color w:val="auto"/>
              </w:rPr>
            </w:pPr>
            <w:r>
              <w:rPr>
                <w:rFonts w:ascii="Arial" w:cs="Arial" w:eastAsia="Arial" w:hAnsi="Arial"/>
                <w:sz w:val="18"/>
                <w:szCs w:val="18"/>
                <w:color w:val="auto"/>
              </w:rPr>
              <w:t>Selected Facilities Projects</w:t>
            </w:r>
          </w:p>
        </w:tc>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Primarily includes amounts for new connections at our St. James and</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Cushing facilities and a cavern conversion at our Fort Saskatchewan</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facility</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5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2021 - 2022+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56"/>
        </w:trPr>
        <w:tc>
          <w:tcPr>
            <w:tcW w:w="3020" w:type="dxa"/>
            <w:vAlign w:val="bottom"/>
            <w:gridSpan w:val="2"/>
          </w:tcPr>
          <w:p>
            <w:pPr>
              <w:spacing w:after="0" w:line="156" w:lineRule="exact"/>
              <w:rPr>
                <w:sz w:val="20"/>
                <w:szCs w:val="20"/>
                <w:color w:val="auto"/>
              </w:rPr>
            </w:pPr>
            <w:r>
              <w:rPr>
                <w:rFonts w:ascii="Arial" w:cs="Arial" w:eastAsia="Arial" w:hAnsi="Arial"/>
                <w:sz w:val="18"/>
                <w:szCs w:val="18"/>
                <w:color w:val="auto"/>
              </w:rPr>
              <w:t>Total Projected Investment Capital</w:t>
            </w: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8"/>
        </w:trPr>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Expenditures </w:t>
            </w:r>
            <w:r>
              <w:rPr>
                <w:rFonts w:ascii="Arial" w:cs="Arial" w:eastAsia="Arial" w:hAnsi="Arial"/>
                <w:sz w:val="23"/>
                <w:szCs w:val="23"/>
                <w:color w:val="auto"/>
                <w:vertAlign w:val="superscript"/>
              </w:rPr>
              <w:t>(1)</w:t>
            </w: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660" w:right="200" w:hanging="652"/>
        <w:spacing w:after="0" w:line="234"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 and Fundamental Themes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Global Petroleum Market Conditions</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Crude oil and other petroleum liquids are supplied by producers around the world, including the Organization of Petroleum Exporting Countries (“OPEC”) and North American producers, among others. The chart below depicts the relationship between global supply of crude oil and other petroleum liquids and demand since the beginning of 2016:</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Global Petroleum and Other Liquids Supply / Demand Balance </w:t>
      </w:r>
      <w:r>
        <w:rPr>
          <w:rFonts w:ascii="Arial" w:cs="Arial" w:eastAsia="Arial" w:hAnsi="Arial"/>
          <w:sz w:val="23"/>
          <w:szCs w:val="23"/>
          <w:b w:val="1"/>
          <w:bCs w:val="1"/>
          <w:color w:val="auto"/>
          <w:vertAlign w:val="superscript"/>
        </w:rPr>
        <w:t>(1)</w:t>
      </w:r>
    </w:p>
    <w:p>
      <w:pPr>
        <w:jc w:val="center"/>
        <w:ind w:right="-99"/>
        <w:spacing w:after="0"/>
        <w:rPr>
          <w:sz w:val="20"/>
          <w:szCs w:val="20"/>
          <w:color w:val="auto"/>
        </w:rPr>
      </w:pPr>
      <w:r>
        <w:rPr>
          <w:rFonts w:ascii="Arial" w:cs="Arial" w:eastAsia="Arial" w:hAnsi="Arial"/>
          <w:sz w:val="18"/>
          <w:szCs w:val="18"/>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0810" cy="3531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081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Average barrels produced and consumed per quarter.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Source: U.S. Energy Information Administration (“EIA”), Short-Term Energy Outlook, February 2021</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2019, global demand for crude oil and other petroleum liquids worldwide averaged approximately 101 million barrels per day and since the year 2000 had grown at an average annual rate of approximately 1.0 to 1.5 million barrels per day. The largest drivers of demand growth were increases in population and rising standards of living in developing nations, particularly in Asia.</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2020, global demand for crude oil and other petroleum liquids worldwide averaged approximately 92 million barrels per day, representing a significant decrease compared to 2019 as a result of the COVID-19 pandemic. As countries around the globe implemented government mandated shutdowns, demand for refined products such as gasoline, diesel and jet fuel significantly decreased resulting in global crude oil and other petroleum liquids demand falling to approximately 81 million barrels per day in April of 2020.</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global demand decreased, inventories began to build and global crude oil prices reached historic lows. Global supply responded in an attempt to rebalance the market as OPEC enacted production cuts, and North American producers shut-in production and greatly reduced capital spending, leading to a 75% reduction in Lower 48 onshore rig count versus the March 2020 peak and an excess of infrastructure in every major North American producing basin.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Both the EIA and OPEC currently forecast that global crude oil demand will recover to or near pre-COVID-19 levels by year end 2021. The global retrenchment of capital in both long-cycle and short-cycle supply combined with natural declines may put a constraint on the ability of producers to meet a meaningful recovery in demand. When demand does recover, there may be a need for incremental supply, and United States short-cycle shale is well positioned to meet this need. In the meantime, we as an industry must focus on rationalization and optimization of the existing infrastructure base while ensuring the ability to serve future growth of both supply and demand. Similar to crude oil, we expect demand for NGL to increase as the world population increases and as the population in developing nations seek to improve their quality of life. In addition, the resource base and the existing logistical infrastructure in North America is well situated to supply a meaningful portion of the expected increase in demand for NGL.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22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w:t>
      </w:r>
    </w:p>
    <w:p>
      <w:pPr>
        <w:spacing w:after="0" w:line="19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designed a business model to integrate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52"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making it easier to transport and store than ethane. NGL refers to all NGL products including LPG when used in this Form 10-K.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NGL is the primary feedstock for petrochemical facilities that produce many of the everyday consumer products used in the world.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Individual NGL products have varying uses. Described below are the five basic NGL components and their typical uses:</w:t>
      </w:r>
    </w:p>
    <w:p>
      <w:pPr>
        <w:spacing w:after="0" w:line="238" w:lineRule="exact"/>
        <w:rPr>
          <w:sz w:val="20"/>
          <w:szCs w:val="20"/>
          <w:color w:val="auto"/>
        </w:rPr>
      </w:pPr>
    </w:p>
    <w:p>
      <w:pPr>
        <w:jc w:val="both"/>
        <w:ind w:left="980" w:right="60" w:hanging="324"/>
        <w:spacing w:after="0" w:line="286" w:lineRule="auto"/>
        <w:tabs>
          <w:tab w:leader="none" w:pos="97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(C2).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92" w:lineRule="exact"/>
        <w:rPr>
          <w:rFonts w:ascii="Arial" w:cs="Arial" w:eastAsia="Arial" w:hAnsi="Arial"/>
          <w:sz w:val="17"/>
          <w:szCs w:val="17"/>
          <w:i w:val="1"/>
          <w:iCs w:val="1"/>
          <w:color w:val="auto"/>
        </w:rPr>
      </w:pPr>
    </w:p>
    <w:p>
      <w:pPr>
        <w:ind w:left="980" w:right="220" w:hanging="324"/>
        <w:spacing w:after="0" w:line="277" w:lineRule="auto"/>
        <w:tabs>
          <w:tab w:leader="none" w:pos="97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(C3). </w:t>
      </w:r>
      <w:r>
        <w:rPr>
          <w:rFonts w:ascii="Arial" w:cs="Arial" w:eastAsia="Arial" w:hAnsi="Arial"/>
          <w:sz w:val="18"/>
          <w:szCs w:val="18"/>
          <w:color w:val="auto"/>
        </w:rPr>
        <w:t>Propane is used as heating fuel, engine fuel and industrial fuel, for agricultural burning and drying and also as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production of ethylene and propylene.</w:t>
      </w:r>
    </w:p>
    <w:p>
      <w:pPr>
        <w:spacing w:after="0" w:line="197" w:lineRule="exact"/>
        <w:rPr>
          <w:rFonts w:ascii="Arial" w:cs="Arial" w:eastAsia="Arial" w:hAnsi="Arial"/>
          <w:sz w:val="18"/>
          <w:szCs w:val="18"/>
          <w:i w:val="1"/>
          <w:iCs w:val="1"/>
          <w:color w:val="auto"/>
        </w:rPr>
      </w:pPr>
    </w:p>
    <w:p>
      <w:pPr>
        <w:ind w:left="980" w:right="40" w:hanging="324"/>
        <w:spacing w:after="0" w:line="286" w:lineRule="auto"/>
        <w:tabs>
          <w:tab w:leader="none" w:pos="97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(C4). </w:t>
      </w:r>
      <w:r>
        <w:rPr>
          <w:rFonts w:ascii="Arial" w:cs="Arial" w:eastAsia="Arial" w:hAnsi="Arial"/>
          <w:sz w:val="17"/>
          <w:szCs w:val="17"/>
          <w:color w:val="auto"/>
        </w:rPr>
        <w:t>Normal butane is principally used for motor gasoline blending and as fuel gas, either alone or in a mixture with propane,</w:t>
      </w:r>
      <w:r>
        <w:rPr>
          <w:rFonts w:ascii="Arial" w:cs="Arial" w:eastAsia="Arial" w:hAnsi="Arial"/>
          <w:sz w:val="17"/>
          <w:szCs w:val="17"/>
          <w:i w:val="1"/>
          <w:iCs w:val="1"/>
          <w:color w:val="auto"/>
        </w:rPr>
        <w:t xml:space="preserve"> </w:t>
      </w:r>
      <w:r>
        <w:rPr>
          <w:rFonts w:ascii="Arial" w:cs="Arial" w:eastAsia="Arial" w:hAnsi="Arial"/>
          <w:sz w:val="17"/>
          <w:szCs w:val="17"/>
          <w:color w:val="auto"/>
        </w:rPr>
        <w:t>and 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52" w:lineRule="exact"/>
        <w:rPr>
          <w:rFonts w:ascii="Arial" w:cs="Arial" w:eastAsia="Arial" w:hAnsi="Arial"/>
          <w:sz w:val="18"/>
          <w:szCs w:val="18"/>
          <w:i w:val="1"/>
          <w:iCs w:val="1"/>
          <w:color w:val="auto"/>
        </w:rPr>
      </w:pPr>
    </w:p>
    <w:p>
      <w:pPr>
        <w:ind w:left="980" w:right="640" w:hanging="324"/>
        <w:spacing w:after="0" w:line="277" w:lineRule="auto"/>
        <w:tabs>
          <w:tab w:leader="none" w:pos="97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97" w:lineRule="exact"/>
        <w:rPr>
          <w:sz w:val="20"/>
          <w:szCs w:val="20"/>
          <w:color w:val="auto"/>
        </w:rPr>
      </w:pPr>
    </w:p>
    <w:p>
      <w:pPr>
        <w:ind w:right="20" w:firstLine="648"/>
        <w:spacing w:after="0" w:line="299" w:lineRule="auto"/>
        <w:rPr>
          <w:sz w:val="20"/>
          <w:szCs w:val="20"/>
          <w:color w:val="auto"/>
        </w:rPr>
      </w:pPr>
      <w:r>
        <w:rPr>
          <w:rFonts w:ascii="Arial" w:cs="Arial" w:eastAsia="Arial" w:hAnsi="Arial"/>
          <w:sz w:val="16"/>
          <w:szCs w:val="16"/>
          <w:color w:val="auto"/>
        </w:rPr>
        <w:t>We source NGL supply from field processing plants that are connected to our Cochrane-to-Edmonton (“Co-Ed”) system and other third-party pipelines that deliver NGL to our storage and processing assets in the Fort Saskatchewan area in Canada, and large processing plants located near Empress, Canada. These plants straddle the TransCanada pipeline system which is a mainline carrier of pipeline quality gas and primarily extract ethane that feeds</w:t>
      </w:r>
    </w:p>
    <w:p>
      <w:pPr>
        <w:spacing w:after="0" w:line="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local petrochemical facilities, and to a lesser extent extract NGL, which can be processed at our Empress or Sarnia fractionators. We expect NGL supply to grow with increased natural gas production in Western Canada when TransCanada completes the expansion of its mainline system in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a “shock absorber” that balances the market, serving as a source of supply to meet the consumption demands in excess of daily production capacity and a warehouse for gas when production exceeds daily demand.</w:t>
      </w:r>
    </w:p>
    <w:p>
      <w:pPr>
        <w:spacing w:after="0" w:line="21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Overall market conditions for natural gas storage appear to be improving as several fundamental factors are contributing to growth in North American natural gas demand. These factors include (i) increasing exports of LNG from North America, (ii) increasing exports of natural gas to Mexico,</w:t>
      </w:r>
    </w:p>
    <w:p>
      <w:pPr>
        <w:ind w:right="140" w:firstLine="8"/>
        <w:spacing w:after="0" w:line="323"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construction of new natural gas-fired power plants, (iv) sustained fuel switching from coal to natural gas among existing power plants and (v) growth in base-level industrial demand. The increase in both supply and demand has created greater opportunities for natural gas storage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three segments—Transportation, Facilities and Supply and Logistics. Accordingly, any references to “we,” “us,”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2020.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139700</wp:posOffset>
            </wp:positionV>
            <wp:extent cx="5863590" cy="5048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We generate revenue through a combination of tariffs, pipeline capacity agreements and other transportation fees. Our Transportation segment also includes equity earnings from our investments in entities that own or are developing transportation assets. We account for these investments under the equity method of accounting. See Note 9 to our Consolidated Financial Statements for additional information regarding these investments.</w:t>
      </w:r>
    </w:p>
    <w:p>
      <w:pPr>
        <w:spacing w:after="0" w:line="21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December 31, 2020, we employed a variety of owned or, to a much lesser extent, leased long-term physical assets throughout the United States and Canada in this segment, including approximately:</w:t>
      </w:r>
    </w:p>
    <w:p>
      <w:pPr>
        <w:spacing w:after="0" w:line="19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18,370 miles of active crude oil and NGL pipelines and gathering systems;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 million barrels of active, above-ground tank capacity used primarily to facilitate pipeline throughput and help maintain product quality segregation;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815 trailers (primarily in Canada).</w:t>
      </w:r>
    </w:p>
    <w:p>
      <w:pPr>
        <w:spacing w:after="0" w:line="36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2020, grouped by geographic location: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1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Ownership Percentage</w:t>
            </w:r>
          </w:p>
        </w:tc>
        <w:tc>
          <w:tcPr>
            <w:tcW w:w="15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Approximate System</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1"/>
              </w:rPr>
              <w:t>2020 Average Net</w:t>
            </w:r>
          </w:p>
        </w:tc>
        <w:tc>
          <w:tcPr>
            <w:tcW w:w="0" w:type="dxa"/>
            <w:vAlign w:val="bottom"/>
          </w:tcPr>
          <w:p>
            <w:pPr>
              <w:spacing w:after="0"/>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line="203" w:lineRule="exact"/>
              <w:rPr>
                <w:sz w:val="20"/>
                <w:szCs w:val="20"/>
                <w:color w:val="auto"/>
              </w:rPr>
            </w:pPr>
            <w:r>
              <w:rPr>
                <w:rFonts w:ascii="Arial" w:cs="Arial" w:eastAsia="Arial" w:hAnsi="Arial"/>
                <w:sz w:val="15"/>
                <w:szCs w:val="15"/>
                <w:b w:val="1"/>
                <w:bCs w:val="1"/>
                <w:color w:val="auto"/>
                <w:w w:val="90"/>
              </w:rPr>
              <w:t xml:space="preserve">Miles </w:t>
            </w:r>
            <w:r>
              <w:rPr>
                <w:rFonts w:ascii="Arial" w:cs="Arial" w:eastAsia="Arial" w:hAnsi="Arial"/>
                <w:sz w:val="19"/>
                <w:szCs w:val="19"/>
                <w:b w:val="1"/>
                <w:bCs w:val="1"/>
                <w:color w:val="auto"/>
                <w:w w:val="90"/>
                <w:vertAlign w:val="superscript"/>
              </w:rPr>
              <w:t>(1)</w:t>
            </w:r>
          </w:p>
        </w:tc>
        <w:tc>
          <w:tcPr>
            <w:tcW w:w="1580" w:type="dxa"/>
            <w:vAlign w:val="bottom"/>
          </w:tcPr>
          <w:p>
            <w:pPr>
              <w:jc w:val="center"/>
              <w:spacing w:after="0" w:line="203" w:lineRule="exact"/>
              <w:rPr>
                <w:sz w:val="20"/>
                <w:szCs w:val="20"/>
                <w:color w:val="auto"/>
              </w:rPr>
            </w:pPr>
            <w:r>
              <w:rPr>
                <w:rFonts w:ascii="Arial" w:cs="Arial" w:eastAsia="Arial" w:hAnsi="Arial"/>
                <w:sz w:val="15"/>
                <w:szCs w:val="15"/>
                <w:b w:val="1"/>
                <w:bCs w:val="1"/>
                <w:color w:val="auto"/>
                <w:w w:val="90"/>
              </w:rPr>
              <w:t xml:space="preserve">Barrels per Day </w:t>
            </w:r>
            <w:r>
              <w:rPr>
                <w:rFonts w:ascii="Arial" w:cs="Arial" w:eastAsia="Arial" w:hAnsi="Arial"/>
                <w:sz w:val="19"/>
                <w:szCs w:val="19"/>
                <w:b w:val="1"/>
                <w:bCs w:val="1"/>
                <w:color w:val="auto"/>
                <w:w w:val="90"/>
                <w:vertAlign w:val="superscript"/>
              </w:rPr>
              <w:t>(2)</w:t>
            </w:r>
          </w:p>
        </w:tc>
        <w:tc>
          <w:tcPr>
            <w:tcW w:w="0" w:type="dxa"/>
            <w:vAlign w:val="bottom"/>
          </w:tcPr>
          <w:p>
            <w:pPr>
              <w:spacing w:after="0"/>
              <w:rPr>
                <w:sz w:val="1"/>
                <w:szCs w:val="1"/>
                <w:color w:val="auto"/>
              </w:rPr>
            </w:pPr>
          </w:p>
        </w:tc>
      </w:tr>
      <w:tr>
        <w:trPr>
          <w:trHeight w:val="181"/>
        </w:trPr>
        <w:tc>
          <w:tcPr>
            <w:tcW w:w="6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Pipelines:</w:t>
            </w: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Gathering pipelines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Intra-basin pipelines </w:t>
            </w:r>
            <w:r>
              <w:rPr>
                <w:rFonts w:ascii="Arial" w:cs="Arial" w:eastAsia="Arial" w:hAnsi="Arial"/>
                <w:sz w:val="23"/>
                <w:szCs w:val="23"/>
                <w:color w:val="auto"/>
                <w:vertAlign w:val="superscript"/>
              </w:rPr>
              <w:t>(3)</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360"/>
              <w:spacing w:after="0" w:line="230" w:lineRule="exact"/>
              <w:rPr>
                <w:sz w:val="20"/>
                <w:szCs w:val="20"/>
                <w:color w:val="auto"/>
              </w:rPr>
            </w:pPr>
            <w:r>
              <w:rPr>
                <w:rFonts w:ascii="Arial" w:cs="Arial" w:eastAsia="Arial" w:hAnsi="Arial"/>
                <w:sz w:val="18"/>
                <w:szCs w:val="18"/>
                <w:color w:val="auto"/>
              </w:rPr>
              <w:t xml:space="preserve">Long-haul pipelines </w:t>
            </w:r>
            <w:r>
              <w:rPr>
                <w:rFonts w:ascii="Arial" w:cs="Arial" w:eastAsia="Arial" w:hAnsi="Arial"/>
                <w:sz w:val="23"/>
                <w:szCs w:val="23"/>
                <w:color w:val="auto"/>
                <w:vertAlign w:val="superscript"/>
              </w:rPr>
              <w:t>(3)</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16% - 100%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South Texas/Eagle Ford</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Central</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Gulf Coast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Rocky Mountain</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Western</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0"/>
        </w:trPr>
        <w:tc>
          <w:tcPr>
            <w:tcW w:w="62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Crude Oil Pipelines Total</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6,082</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NGL Pipelines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 - 100%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Crude Oil and NGL Pipelines Total</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total mileage of pipelines in which we own less than 100%.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Index to Financial Statements</w:t>
        </w:r>
      </w:hyperlink>
    </w:p>
    <w:p>
      <w:pPr>
        <w:sectPr>
          <w:pgSz w:w="11900" w:h="16838" w:orient="portrait"/>
          <w:cols w:equalWidth="0" w:num="1">
            <w:col w:w="11140"/>
          </w:cols>
          <w:pgMar w:left="320" w:top="130" w:right="4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0" w:right="220" w:hanging="11"/>
        <w:spacing w:after="0" w:line="263" w:lineRule="auto"/>
        <w:rPr>
          <w:sz w:val="20"/>
          <w:szCs w:val="20"/>
          <w:color w:val="auto"/>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pipelines operated by a third party.</w:t>
      </w:r>
    </w:p>
    <w:p>
      <w:pPr>
        <w:spacing w:after="0" w:line="200" w:lineRule="exact"/>
        <w:rPr>
          <w:sz w:val="20"/>
          <w:szCs w:val="20"/>
          <w:color w:val="auto"/>
        </w:rPr>
      </w:pPr>
    </w:p>
    <w:p>
      <w:pPr>
        <w:sectPr>
          <w:pgSz w:w="11900" w:h="16838" w:orient="portrait"/>
          <w:cols w:equalWidth="0" w:num="2">
            <w:col w:w="140" w:space="500"/>
            <w:col w:w="10500"/>
          </w:cols>
          <w:pgMar w:left="320" w:top="130" w:right="439" w:bottom="1440" w:gutter="0" w:footer="0" w:header="0"/>
          <w:type w:val="continuous"/>
        </w:sectPr>
      </w:pPr>
    </w:p>
    <w:p>
      <w:pPr>
        <w:spacing w:after="0" w:line="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 significant portion of our pipeline assets are interconnected and are operated as a contiguous system. The following descriptions are organized by type and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crude oil pipelines are comprised of:</w:t>
      </w:r>
    </w:p>
    <w:p>
      <w:pPr>
        <w:spacing w:after="0" w:line="252"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gathering pipelines </w:t>
      </w:r>
      <w:r>
        <w:rPr>
          <w:rFonts w:ascii="Arial" w:cs="Arial" w:eastAsia="Arial" w:hAnsi="Arial"/>
          <w:sz w:val="18"/>
          <w:szCs w:val="18"/>
          <w:color w:val="auto"/>
        </w:rPr>
        <w:t>that move crude oil from wellhead or central battery connections to regional market hubs;</w:t>
      </w:r>
    </w:p>
    <w:p>
      <w:pPr>
        <w:spacing w:after="0" w:line="252"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intra-basin pipelines </w:t>
      </w:r>
      <w:r>
        <w:rPr>
          <w:rFonts w:ascii="Arial" w:cs="Arial" w:eastAsia="Arial" w:hAnsi="Arial"/>
          <w:sz w:val="18"/>
          <w:szCs w:val="18"/>
          <w:color w:val="auto"/>
        </w:rPr>
        <w:t>that are used as a hub system creating a significant amount of flexibility by creating connections between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hub locations; and</w:t>
      </w:r>
    </w:p>
    <w:p>
      <w:pPr>
        <w:spacing w:after="0" w:line="197" w:lineRule="exact"/>
        <w:rPr>
          <w:rFonts w:ascii="Arial" w:cs="Arial" w:eastAsia="Arial" w:hAnsi="Arial"/>
          <w:sz w:val="18"/>
          <w:szCs w:val="18"/>
          <w:color w:val="auto"/>
        </w:rPr>
      </w:pPr>
    </w:p>
    <w:p>
      <w:pPr>
        <w:ind w:left="1300" w:right="32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long-haul pipelines </w:t>
      </w:r>
      <w:r>
        <w:rPr>
          <w:rFonts w:ascii="Arial" w:cs="Arial" w:eastAsia="Arial" w:hAnsi="Arial"/>
          <w:sz w:val="18"/>
          <w:szCs w:val="18"/>
          <w:color w:val="auto"/>
        </w:rPr>
        <w:t>that move crude oil from (i) regional market hubs to major market hubs such as Cushing, Oklahoma or to export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including our Corpus Christi terminal or (ii) major market hubs to a refinery.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Gathering Pipelines</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i w:val="1"/>
          <w:iCs w:val="1"/>
          <w:color w:val="auto"/>
        </w:rPr>
        <w:t xml:space="preserve">Permian Basin. </w:t>
      </w:r>
      <w:r>
        <w:rPr>
          <w:rFonts w:ascii="Arial" w:cs="Arial" w:eastAsia="Arial" w:hAnsi="Arial"/>
          <w:sz w:val="18"/>
          <w:szCs w:val="18"/>
          <w:color w:val="auto"/>
        </w:rPr>
        <w:t>We own and operate over 3,200 miles of gathering pipelines in both the Midland Basin and the Delaware Basin that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over 2.5 million barrels per day of pipeline capacity. This gathering capacity includes pipeline capacity that delivers volumes to regional market hubs. Approximately 75% of the capacity of our gathering systems is in the Delaware Basin.</w:t>
      </w:r>
    </w:p>
    <w:p>
      <w:pPr>
        <w:spacing w:after="0" w:line="21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i w:val="1"/>
          <w:iCs w:val="1"/>
          <w:color w:val="auto"/>
        </w:rPr>
        <w:t xml:space="preserve">Central. </w:t>
      </w:r>
      <w:r>
        <w:rPr>
          <w:rFonts w:ascii="Arial" w:cs="Arial" w:eastAsia="Arial" w:hAnsi="Arial"/>
          <w:sz w:val="18"/>
          <w:szCs w:val="18"/>
          <w:color w:val="auto"/>
        </w:rPr>
        <w:t>We own and operate gathering pipelines that source crude oil from Western and Central Oklahoma and Southwest Kansas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delivery into our terminal facilities at Cushing, Oklahoma.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Rocky Mountain. </w:t>
      </w:r>
      <w:r>
        <w:rPr>
          <w:rFonts w:ascii="Arial" w:cs="Arial" w:eastAsia="Arial" w:hAnsi="Arial"/>
          <w:sz w:val="18"/>
          <w:szCs w:val="18"/>
          <w:color w:val="auto"/>
        </w:rPr>
        <w:t>We own and operate pipelines that provide gathering services in the Bakken and the Powder River Basin.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Western. </w:t>
      </w:r>
      <w:r>
        <w:rPr>
          <w:rFonts w:ascii="Arial" w:cs="Arial" w:eastAsia="Arial" w:hAnsi="Arial"/>
          <w:sz w:val="18"/>
          <w:szCs w:val="18"/>
          <w:color w:val="auto"/>
        </w:rPr>
        <w:t>We own and operate a pipeline in the San Joaquin Valley that gathers locally produced crude oil, which is then delivered via our Line 63</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system and/or Line 2000 pipeline for transportation to Los Angeles area refiners.</w:t>
      </w:r>
    </w:p>
    <w:p>
      <w:pPr>
        <w:spacing w:after="0" w:line="19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 xml:space="preserve">Canada. </w:t>
      </w:r>
      <w:r>
        <w:rPr>
          <w:rFonts w:ascii="Arial" w:cs="Arial" w:eastAsia="Arial" w:hAnsi="Arial"/>
          <w:sz w:val="16"/>
          <w:szCs w:val="16"/>
          <w:color w:val="auto"/>
        </w:rPr>
        <w:t>We own and operate gathering systems with capacity of approximately 220,000 barrels per day. These gathering systems source crude</w:t>
      </w:r>
      <w:r>
        <w:rPr>
          <w:rFonts w:ascii="Arial" w:cs="Arial" w:eastAsia="Arial" w:hAnsi="Arial"/>
          <w:sz w:val="16"/>
          <w:szCs w:val="16"/>
          <w:i w:val="1"/>
          <w:iCs w:val="1"/>
          <w:color w:val="auto"/>
        </w:rPr>
        <w:t xml:space="preserve"> </w:t>
      </w:r>
      <w:r>
        <w:rPr>
          <w:rFonts w:ascii="Arial" w:cs="Arial" w:eastAsia="Arial" w:hAnsi="Arial"/>
          <w:sz w:val="16"/>
          <w:szCs w:val="16"/>
          <w:color w:val="auto"/>
        </w:rPr>
        <w:t>from truck terminals and pipeline connected facilities to deliver to the Enbridge Mainline system at our Kerrobert and Regina terminals in Saskatchewan.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Intra-basin Pipelines</w:t>
      </w:r>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i w:val="1"/>
          <w:iCs w:val="1"/>
          <w:color w:val="auto"/>
        </w:rPr>
        <w:t xml:space="preserve">Permian Basin. </w:t>
      </w:r>
      <w:r>
        <w:rPr>
          <w:rFonts w:ascii="Arial" w:cs="Arial" w:eastAsia="Arial" w:hAnsi="Arial"/>
          <w:sz w:val="16"/>
          <w:szCs w:val="16"/>
          <w:color w:val="auto"/>
        </w:rPr>
        <w:t>We own and operate an intra-basin pipeline system with a capacity of over 2 million barrels per day that connects gathering</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pipelines and truck injection volumes to our owned and operated as well as third-party mainline pipelines that transport crude oil to major market hubs. This interconnected pipeline system is designed to provide shippers flow assurance, flexibility and access to multiple markets.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i w:val="1"/>
          <w:iCs w:val="1"/>
          <w:color w:val="auto"/>
        </w:rPr>
        <w:t xml:space="preserve">Canada. </w:t>
      </w:r>
      <w:r>
        <w:rPr>
          <w:rFonts w:ascii="Arial" w:cs="Arial" w:eastAsia="Arial" w:hAnsi="Arial"/>
          <w:sz w:val="17"/>
          <w:szCs w:val="17"/>
          <w:color w:val="auto"/>
        </w:rPr>
        <w:t>We own and operate intra-basin pipelines with capacity of approximately 290,000 barrels per day that deliver crude from northern and</w:t>
      </w:r>
      <w:r>
        <w:rPr>
          <w:rFonts w:ascii="Arial" w:cs="Arial" w:eastAsia="Arial" w:hAnsi="Arial"/>
          <w:sz w:val="17"/>
          <w:szCs w:val="17"/>
          <w:i w:val="1"/>
          <w:iCs w:val="1"/>
          <w:color w:val="auto"/>
        </w:rPr>
        <w:t xml:space="preserve"> </w:t>
      </w:r>
      <w:r>
        <w:rPr>
          <w:rFonts w:ascii="Arial" w:cs="Arial" w:eastAsia="Arial" w:hAnsi="Arial"/>
          <w:sz w:val="17"/>
          <w:szCs w:val="17"/>
          <w:color w:val="auto"/>
        </w:rPr>
        <w:t>southern Alberta to the Edmonton, Alberta market hub. These pipelines provide shippers with flexibility to access the Enbridge and TransMountain long-haul pipelines along with the Imperial Oil Refinery. In addition, we have three cross-border pipelines that have the flexibility to move up to approximately 60,000 barrels per day of Canadian crude oil to our Rocky Mountain area long-haul pipelines. These intra-basin pipelines also have the ability to deliver up to approximately 105,000 barrels per day of crude oil to third-party pipelines in the Rocky Mountain region.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Long-haul Pipelines</w:t>
      </w:r>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i w:val="1"/>
          <w:iCs w:val="1"/>
          <w:color w:val="auto"/>
        </w:rPr>
        <w:t xml:space="preserve">Permian Basin. </w:t>
      </w:r>
      <w:r>
        <w:rPr>
          <w:rFonts w:ascii="Arial" w:cs="Arial" w:eastAsia="Arial" w:hAnsi="Arial"/>
          <w:sz w:val="16"/>
          <w:szCs w:val="16"/>
          <w:color w:val="auto"/>
        </w:rPr>
        <w:t>We own interests in multiple long-haul pipeline systems that, on a combined basis, represent over 1.5 million barrels per day of</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operational takeaway capacity (net to our ownership interests) out of the Permian Basin to major market hubs in Corpus Christi and Houston, Texas and Cushing, Oklahoma. Below is a description of some of our most significant long-haul pipeline systems within the Permian Basin region.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to Cushing/Mid-Continent</w:t>
      </w:r>
    </w:p>
    <w:p>
      <w:pPr>
        <w:spacing w:after="0" w:line="256" w:lineRule="exact"/>
        <w:rPr>
          <w:sz w:val="20"/>
          <w:szCs w:val="20"/>
          <w:color w:val="auto"/>
        </w:rPr>
      </w:pPr>
    </w:p>
    <w:p>
      <w:pPr>
        <w:ind w:left="980" w:right="120" w:hanging="324"/>
        <w:spacing w:after="0" w:line="279"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Basin Pipeline (Permian to Cushing). </w:t>
      </w:r>
      <w:r>
        <w:rPr>
          <w:rFonts w:ascii="Arial" w:cs="Arial" w:eastAsia="Arial" w:hAnsi="Arial"/>
          <w:sz w:val="17"/>
          <w:szCs w:val="17"/>
          <w:color w:val="auto"/>
        </w:rPr>
        <w:t>We own an 87% UJI in and are the operator of Basin Pipeline. Basin Pipeline has three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98" w:lineRule="exact"/>
        <w:rPr>
          <w:rFonts w:ascii="Arial" w:cs="Arial" w:eastAsia="Arial" w:hAnsi="Arial"/>
          <w:sz w:val="17"/>
          <w:szCs w:val="17"/>
          <w:color w:val="auto"/>
        </w:rPr>
      </w:pPr>
    </w:p>
    <w:p>
      <w:pPr>
        <w:ind w:left="980" w:right="24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Sunrise II Pipeline. </w:t>
      </w:r>
      <w:r>
        <w:rPr>
          <w:rFonts w:ascii="Arial" w:cs="Arial" w:eastAsia="Arial" w:hAnsi="Arial"/>
          <w:sz w:val="18"/>
          <w:szCs w:val="18"/>
          <w:color w:val="auto"/>
        </w:rPr>
        <w:t>We operate the Sunrise II Pipeline and, through a UJI arrangement, own 400,000 barrels of the capacity. Our Sunrise II</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transports crude oil from Midland and Colorado City to connecting carriers at Wichita Falls.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to Gulf Coast</w:t>
      </w:r>
    </w:p>
    <w:p>
      <w:pPr>
        <w:spacing w:after="0" w:line="256" w:lineRule="exact"/>
        <w:rPr>
          <w:sz w:val="20"/>
          <w:szCs w:val="20"/>
          <w:color w:val="auto"/>
        </w:rPr>
      </w:pPr>
    </w:p>
    <w:p>
      <w:pPr>
        <w:ind w:left="980" w:right="180" w:hanging="324"/>
        <w:spacing w:after="0" w:line="259" w:lineRule="auto"/>
        <w:tabs>
          <w:tab w:leader="none" w:pos="97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We own a 20% interest in the legal entity that owns the BridgeTex Pipeline, with two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The pipeline, operated by a subsidiary of Magellan Midstream Partners, L.P., originates at Colorado City, Texas and extends to Houston, Texas. The pipeline has a capacity of 440,000 barrels per day and is capable of receiving supply from both our Basin and Midland South (formerly Sunrise) pipelines.</w:t>
      </w:r>
    </w:p>
    <w:p>
      <w:pPr>
        <w:spacing w:after="0" w:line="213" w:lineRule="exact"/>
        <w:rPr>
          <w:rFonts w:ascii="Arial" w:cs="Arial" w:eastAsia="Arial" w:hAnsi="Arial"/>
          <w:sz w:val="18"/>
          <w:szCs w:val="18"/>
          <w:i w:val="1"/>
          <w:iCs w:val="1"/>
          <w:color w:val="auto"/>
        </w:rPr>
      </w:pPr>
    </w:p>
    <w:p>
      <w:pPr>
        <w:ind w:left="980" w:right="300" w:hanging="324"/>
        <w:spacing w:after="0" w:line="286"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 390,000 barrels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originates at McCamey, Texas and extends to Gardendale, Texas. Cactus Pipeline volumes are interconnected to the Corpus Christi, Texas market through a connection at Gardendale to our Eagle Ford joint venture pipeline system.</w:t>
      </w:r>
    </w:p>
    <w:p>
      <w:pPr>
        <w:spacing w:after="0" w:line="192" w:lineRule="exact"/>
        <w:rPr>
          <w:rFonts w:ascii="Arial" w:cs="Arial" w:eastAsia="Arial" w:hAnsi="Arial"/>
          <w:sz w:val="17"/>
          <w:szCs w:val="17"/>
          <w:color w:val="auto"/>
        </w:rPr>
      </w:pPr>
    </w:p>
    <w:p>
      <w:pPr>
        <w:jc w:val="both"/>
        <w:ind w:left="980" w:right="360" w:hanging="324"/>
        <w:spacing w:after="0" w:line="263" w:lineRule="auto"/>
        <w:tabs>
          <w:tab w:leader="none" w:pos="97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Cactus II Pipeline (Permian to Corpus Christi). </w:t>
      </w:r>
      <w:r>
        <w:rPr>
          <w:rFonts w:ascii="Arial" w:cs="Arial" w:eastAsia="Arial" w:hAnsi="Arial"/>
          <w:sz w:val="18"/>
          <w:szCs w:val="18"/>
          <w:color w:val="auto"/>
        </w:rPr>
        <w:t>We own a 65% interest in the legal entity that owns the Cactus II Pipeline (“Cactus II”),</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operate. Cactus II is a Permian mainline system that extends directly to the Corpus Christi, Texas market, and has a capacity of 670,000 barrels per day.</w:t>
      </w:r>
    </w:p>
    <w:p>
      <w:pPr>
        <w:spacing w:after="0" w:line="210" w:lineRule="exact"/>
        <w:rPr>
          <w:rFonts w:ascii="Arial" w:cs="Arial" w:eastAsia="Arial" w:hAnsi="Arial"/>
          <w:sz w:val="18"/>
          <w:szCs w:val="18"/>
          <w:i w:val="1"/>
          <w:iCs w:val="1"/>
          <w:color w:val="auto"/>
        </w:rPr>
      </w:pPr>
    </w:p>
    <w:p>
      <w:pPr>
        <w:ind w:left="980" w:hanging="324"/>
        <w:spacing w:after="0" w:line="253"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Wink to Webster Pipeline. </w:t>
      </w:r>
      <w:r>
        <w:rPr>
          <w:rFonts w:ascii="Arial" w:cs="Arial" w:eastAsia="Arial" w:hAnsi="Arial"/>
          <w:sz w:val="17"/>
          <w:szCs w:val="17"/>
          <w:color w:val="auto"/>
        </w:rPr>
        <w:t>We own a 16% interest in the legal entity that owns the Wink to Webster Pipeline (“W2W Pipeline”), which in turn</w:t>
      </w:r>
      <w:r>
        <w:rPr>
          <w:rFonts w:ascii="Arial" w:cs="Arial" w:eastAsia="Arial" w:hAnsi="Arial"/>
          <w:sz w:val="17"/>
          <w:szCs w:val="17"/>
          <w:i w:val="1"/>
          <w:iCs w:val="1"/>
          <w:color w:val="auto"/>
        </w:rPr>
        <w:t xml:space="preserve"> </w:t>
      </w:r>
      <w:r>
        <w:rPr>
          <w:rFonts w:ascii="Arial" w:cs="Arial" w:eastAsia="Arial" w:hAnsi="Arial"/>
          <w:sz w:val="17"/>
          <w:szCs w:val="17"/>
          <w:color w:val="auto"/>
        </w:rPr>
        <w:t>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which is currently in partial service, will provide approximately 1.5 million barrels per day of crude oil capacity (1.1 million barrels per day, net to the UJI interest) and is supported by long-term shipper commitments. Phase one of the pipeline system from Midland, Texas to Webster, Texas is currently in service. Phase two, which increases the pipeline system to 1.5 million barrels per day of capacity, is expected to be in service in the fourth quarter of 2021, at which time long-term shipper commitments will become effective. The third phase of the project, which includes the segments from Wink, Texas to Midland, Texas and from Webster, Texas to Baytown, Texas, has been deferred by the partners until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South Texas/Eagle Ford. </w:t>
      </w:r>
      <w:r>
        <w:rPr>
          <w:rFonts w:ascii="Arial" w:cs="Arial" w:eastAsia="Arial" w:hAnsi="Arial"/>
          <w:sz w:val="18"/>
          <w:szCs w:val="18"/>
          <w:color w:val="auto"/>
        </w:rPr>
        <w:t>We own a 50% interest in the legal entity that owns the Eagle Ford Pipeline through a joint venture with a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We serve as the operator of the Eagle Ford Pipeline, which has a total capacity of approximately 660,000 barrels per day and connects Permian and Eagle Ford area production to Corpus Christi, Texas refiners and terminals. Additionally, the Eagle Ford Pipeline has connectivity to Houston, Texas via a connection with Enterprise’s pipeline at Lyssy, Texas.</w:t>
      </w:r>
    </w:p>
    <w:p>
      <w:pPr>
        <w:spacing w:after="0" w:line="21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Central. </w:t>
      </w:r>
      <w:r>
        <w:rPr>
          <w:rFonts w:ascii="Arial" w:cs="Arial" w:eastAsia="Arial" w:hAnsi="Arial"/>
          <w:sz w:val="18"/>
          <w:szCs w:val="18"/>
          <w:color w:val="auto"/>
        </w:rPr>
        <w:t>We own and operate various pipeline systems that extend from our Cushing terminal in Oklahoma to various refineries and/or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hubs. Below is a description of some of our most significant pipeline systems in the Central region.</w:t>
      </w:r>
    </w:p>
    <w:p>
      <w:pPr>
        <w:spacing w:after="0" w:line="197" w:lineRule="exact"/>
        <w:rPr>
          <w:sz w:val="20"/>
          <w:szCs w:val="20"/>
          <w:color w:val="auto"/>
        </w:rPr>
      </w:pPr>
    </w:p>
    <w:p>
      <w:pPr>
        <w:ind w:left="980" w:right="60" w:hanging="324"/>
        <w:spacing w:after="0" w:line="293" w:lineRule="auto"/>
        <w:tabs>
          <w:tab w:leader="none" w:pos="975"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Diamond Pipeline (Cushing to Memphis). </w:t>
      </w:r>
      <w:r>
        <w:rPr>
          <w:rFonts w:ascii="Arial" w:cs="Arial" w:eastAsia="Arial" w:hAnsi="Arial"/>
          <w:sz w:val="16"/>
          <w:szCs w:val="16"/>
          <w:color w:val="auto"/>
        </w:rPr>
        <w:t>We own a 50% interest in the legal entity that owns the Diamond Pipeline through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Valero Energy Corporation (“Valero”). We operate the Diamond Pipeline, which extends from our Cushing Terminal to Valero’s refinery in Memphis, Tennessee. The Diamond Pipeline is underpinned by a long-term minimum volume commitment and currently has a total capacity of 200,000 barrels per day. Following the successful 2019 open season on the Capline Pipeline system (“Capline”), the joint venture partners sanctioned an expansion and modest extension of the Diamond Pipeline that will expand its capacity to approximately 420,000 barrels per day, connect it to Capline and facilitate the movement of volumes from Cushing, Oklahoma to St. James, Louisiana.</w:t>
      </w:r>
    </w:p>
    <w:p>
      <w:pPr>
        <w:spacing w:after="0" w:line="191" w:lineRule="exact"/>
        <w:rPr>
          <w:rFonts w:ascii="Arial" w:cs="Arial" w:eastAsia="Arial" w:hAnsi="Arial"/>
          <w:sz w:val="16"/>
          <w:szCs w:val="16"/>
          <w:i w:val="1"/>
          <w:iCs w:val="1"/>
          <w:color w:val="auto"/>
        </w:rPr>
      </w:pPr>
    </w:p>
    <w:p>
      <w:pPr>
        <w:jc w:val="both"/>
        <w:ind w:left="980" w:right="120" w:hanging="324"/>
        <w:spacing w:after="0" w:line="287" w:lineRule="auto"/>
        <w:tabs>
          <w:tab w:leader="none" w:pos="975"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Red River Pipeline (Cushing to Longview)</w:t>
      </w:r>
      <w:r>
        <w:rPr>
          <w:rFonts w:ascii="Arial" w:cs="Arial" w:eastAsia="Arial" w:hAnsi="Arial"/>
          <w:sz w:val="16"/>
          <w:szCs w:val="16"/>
          <w:color w:val="auto"/>
        </w:rPr>
        <w:t>. The Red River Pipeline is an approximately 235,000 barrel per day capacity pipeline that extends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Cushing Terminal in Oklahoma to Longview, Texas, where it connects with various pipelines. The Red River Pipeline is supported by long-term shipper commitments and we serve as operator. In May 2019, we announced a new joint venture of the Red River Pipeline.</w:t>
      </w:r>
    </w:p>
    <w:p>
      <w:pPr>
        <w:spacing w:after="0" w:line="2" w:lineRule="exact"/>
        <w:rPr>
          <w:rFonts w:ascii="Arial" w:cs="Arial" w:eastAsia="Arial" w:hAnsi="Arial"/>
          <w:sz w:val="16"/>
          <w:szCs w:val="16"/>
          <w:i w:val="1"/>
          <w:iCs w:val="1"/>
          <w:color w:val="auto"/>
        </w:rPr>
      </w:pPr>
    </w:p>
    <w:p>
      <w:pPr>
        <w:ind w:left="980" w:right="160"/>
        <w:spacing w:after="0" w:line="270" w:lineRule="auto"/>
        <w:rPr>
          <w:rFonts w:ascii="Arial" w:cs="Arial" w:eastAsia="Arial" w:hAnsi="Arial"/>
          <w:sz w:val="16"/>
          <w:szCs w:val="16"/>
          <w:i w:val="1"/>
          <w:iCs w:val="1"/>
          <w:color w:val="auto"/>
        </w:rPr>
      </w:pPr>
      <w:r>
        <w:rPr>
          <w:rFonts w:ascii="Arial" w:cs="Arial" w:eastAsia="Arial" w:hAnsi="Arial"/>
          <w:sz w:val="17"/>
          <w:szCs w:val="17"/>
          <w:color w:val="auto"/>
        </w:rPr>
        <w:t>Delek Logistics Partners, LP (“Delek”) purchased a 33% ownership interest in the new Red River Pipeline Company LLC (“Red River JV”) joint venture and we retained a 67% interest. In 2020, we put into service an expansion that enables additional volume pull-through from Cushing, Oklahoma and the Permian to the U.S. Gulf Coast markets, providing additional supply optionality for shippers. In support of this expansion, Delek increased its long-term throughput and deficiency agreement on the Red River Pipeline system from an existing 35,000 barrels per day to 100,000 barrels per day. The Red River JV has an approximate 69% UJI in the pipeline segment from Cushing to Hewitt and owns 100% of the segment of the pipeline extending from Hewitt to Longview.</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Rocky Mountain. </w:t>
      </w:r>
      <w:r>
        <w:rPr>
          <w:rFonts w:ascii="Arial" w:cs="Arial" w:eastAsia="Arial" w:hAnsi="Arial"/>
          <w:sz w:val="18"/>
          <w:szCs w:val="18"/>
          <w:color w:val="auto"/>
        </w:rPr>
        <w:t>Our pipeline systems in the Rocky Mountain region provide access to our terminal in Cushing, Oklahoma as well as other major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hubs. We own and operate the Bakken North pipeline system that accommodates bidirectional flow and can move crude oil from the Bakken to the Enbridge Mainline system at Regina, Saskatchewan or from the Enbridge Mainline system to our terminal in Trenton, North Dakota. We own a UJI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 Oklahoma.</w:t>
      </w:r>
    </w:p>
    <w:p>
      <w:pPr>
        <w:spacing w:after="0" w:line="219" w:lineRule="exact"/>
        <w:rPr>
          <w:sz w:val="20"/>
          <w:szCs w:val="20"/>
          <w:color w:val="auto"/>
        </w:rPr>
      </w:pPr>
    </w:p>
    <w:p>
      <w:pPr>
        <w:ind w:left="980" w:right="60" w:hanging="324"/>
        <w:spacing w:after="0" w:line="259"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30% interest in the legal entity that owns the Saddlehorn Pipeline and, through a UJI arrangement, owns</w:t>
      </w:r>
      <w:r>
        <w:rPr>
          <w:rFonts w:ascii="Arial" w:cs="Arial" w:eastAsia="Arial" w:hAnsi="Arial"/>
          <w:sz w:val="18"/>
          <w:szCs w:val="18"/>
          <w:i w:val="1"/>
          <w:iCs w:val="1"/>
          <w:color w:val="auto"/>
        </w:rPr>
        <w:t xml:space="preserve"> </w:t>
      </w:r>
      <w:r>
        <w:rPr>
          <w:rFonts w:ascii="Arial" w:cs="Arial" w:eastAsia="Arial" w:hAnsi="Arial"/>
          <w:sz w:val="18"/>
          <w:szCs w:val="18"/>
          <w:color w:val="auto"/>
        </w:rPr>
        <w:t>290,000 barrels per day of capacity in the Saddlehorn Pipeline, which includes a recent expansion of 100,000 barrels per day. The pipeline extends from the Niobrara and Denver-Julesburg (“DJ”) Basin to Cushing and is operated by Magellan. The Saddlehorn Pipeline is supported by minimum volume commitments.</w:t>
      </w:r>
    </w:p>
    <w:p>
      <w:pPr>
        <w:spacing w:after="0" w:line="213" w:lineRule="exact"/>
        <w:rPr>
          <w:rFonts w:ascii="Arial" w:cs="Arial" w:eastAsia="Arial" w:hAnsi="Arial"/>
          <w:sz w:val="18"/>
          <w:szCs w:val="18"/>
          <w:color w:val="auto"/>
        </w:rPr>
      </w:pPr>
    </w:p>
    <w:p>
      <w:pPr>
        <w:ind w:left="980" w:right="140" w:hanging="324"/>
        <w:spacing w:after="0" w:line="296" w:lineRule="auto"/>
        <w:tabs>
          <w:tab w:leader="none" w:pos="97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White Cliffs Pipeline. </w:t>
      </w:r>
      <w:r>
        <w:rPr>
          <w:rFonts w:ascii="Arial" w:cs="Arial" w:eastAsia="Arial" w:hAnsi="Arial"/>
          <w:sz w:val="16"/>
          <w:szCs w:val="16"/>
          <w:color w:val="auto"/>
        </w:rPr>
        <w:t>We own an approximate 36% interest in the entity that owns the White Cliffs Pipeline system through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88" w:lineRule="exact"/>
        <w:rPr>
          <w:sz w:val="20"/>
          <w:szCs w:val="20"/>
          <w:color w:val="auto"/>
        </w:rPr>
      </w:pPr>
    </w:p>
    <w:p>
      <w:pPr>
        <w:ind w:right="120" w:firstLine="648"/>
        <w:spacing w:after="0" w:line="262" w:lineRule="auto"/>
        <w:rPr>
          <w:sz w:val="20"/>
          <w:szCs w:val="20"/>
          <w:color w:val="auto"/>
        </w:rPr>
      </w:pPr>
      <w:r>
        <w:rPr>
          <w:rFonts w:ascii="Arial" w:cs="Arial" w:eastAsia="Arial" w:hAnsi="Arial"/>
          <w:sz w:val="17"/>
          <w:szCs w:val="17"/>
          <w:i w:val="1"/>
          <w:iCs w:val="1"/>
          <w:color w:val="auto"/>
        </w:rPr>
        <w:t xml:space="preserve">Western. </w:t>
      </w:r>
      <w:r>
        <w:rPr>
          <w:rFonts w:ascii="Arial" w:cs="Arial" w:eastAsia="Arial" w:hAnsi="Arial"/>
          <w:sz w:val="17"/>
          <w:szCs w:val="17"/>
          <w:color w:val="auto"/>
        </w:rPr>
        <w:t>We own and operate the Line 63 and Line 2000 pipelines in California. Line 2000 is a mainline system that has the capacity to transport</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Supply lines. </w:t>
      </w:r>
      <w:r>
        <w:rPr>
          <w:rFonts w:ascii="Arial" w:cs="Arial" w:eastAsia="Arial" w:hAnsi="Arial"/>
          <w:sz w:val="18"/>
          <w:szCs w:val="18"/>
          <w:color w:val="auto"/>
        </w:rPr>
        <w:t>Our supply lines transport NGL from producing locations to downstream processing facilities. Our primary supply system, the Co-Ed</w:t>
      </w:r>
      <w:r>
        <w:rPr>
          <w:rFonts w:ascii="Arial" w:cs="Arial" w:eastAsia="Arial" w:hAnsi="Arial"/>
          <w:sz w:val="18"/>
          <w:szCs w:val="18"/>
          <w:i w:val="1"/>
          <w:iCs w:val="1"/>
          <w:color w:val="auto"/>
        </w:rPr>
        <w:t xml:space="preserve"> </w:t>
      </w:r>
      <w:r>
        <w:rPr>
          <w:rFonts w:ascii="Arial" w:cs="Arial" w:eastAsia="Arial" w:hAnsi="Arial"/>
          <w:sz w:val="18"/>
          <w:szCs w:val="18"/>
          <w:color w:val="auto"/>
        </w:rPr>
        <w:t>NGL pipeline system, has transportation capacity of approximately 70,000 barrels per day and gathers NGL from Southwest and Central Alberta (Cardium, Deep Basin, and Alberta Montney) for delivery to our Fort Saskatchewan, Alberta NGL fractionation facilities. In addition, we own a 50% UJI in a supply line with capacity of approximately 50,000 barrels per day that carries NGL from our Empress, Alberta fractionation facility to cavern storage assets in Kerrobert, Saskatchewan.</w:t>
      </w:r>
    </w:p>
    <w:p>
      <w:pPr>
        <w:spacing w:after="0" w:line="21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 xml:space="preserve">Market lines. </w:t>
      </w:r>
      <w:r>
        <w:rPr>
          <w:rFonts w:ascii="Arial" w:cs="Arial" w:eastAsia="Arial" w:hAnsi="Arial"/>
          <w:sz w:val="17"/>
          <w:szCs w:val="17"/>
          <w:color w:val="auto"/>
        </w:rPr>
        <w:t>Market lines are typically used to transport NGL from production locations to further downstream market distribution and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terminals. We own and operate one market pipeline, the Plains Petroleum Transmission Company (“PPTC”) pipeline system, which has approximately 15,500 barrels per day of capacity. The pipeline extends from our Empress, Alberta fractionation facility to our Fort Whyte terminal in Winnipeg, Manitoba. The pipeline also delivers NGL to various terminals and rail loading facilities along the pipeline system.</w:t>
      </w:r>
    </w:p>
    <w:p>
      <w:pPr>
        <w:spacing w:after="0" w:line="19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i w:val="1"/>
          <w:iCs w:val="1"/>
          <w:color w:val="auto"/>
        </w:rPr>
        <w:t xml:space="preserve">Hub lines. </w:t>
      </w:r>
      <w:r>
        <w:rPr>
          <w:rFonts w:ascii="Arial" w:cs="Arial" w:eastAsia="Arial" w:hAnsi="Arial"/>
          <w:sz w:val="17"/>
          <w:szCs w:val="17"/>
          <w:color w:val="auto"/>
        </w:rPr>
        <w:t>Hub lines connect regional hub locations, such as processing assets to storage and petrochemical facilities. We own and operate hub</w:t>
      </w:r>
      <w:r>
        <w:rPr>
          <w:rFonts w:ascii="Arial" w:cs="Arial" w:eastAsia="Arial" w:hAnsi="Arial"/>
          <w:sz w:val="17"/>
          <w:szCs w:val="17"/>
          <w:i w:val="1"/>
          <w:iCs w:val="1"/>
          <w:color w:val="auto"/>
        </w:rPr>
        <w:t xml:space="preserve"> </w:t>
      </w:r>
      <w:r>
        <w:rPr>
          <w:rFonts w:ascii="Arial" w:cs="Arial" w:eastAsia="Arial" w:hAnsi="Arial"/>
          <w:sz w:val="17"/>
          <w:szCs w:val="17"/>
          <w:color w:val="auto"/>
        </w:rPr>
        <w:t>lines in eastern Canada with approximately 130,000 barrels per day of capacity that transport propane and butane from our Sarnia, Ontario fractionation facility to our St. Clair, Michigan and Windsor, Ontario storage, rail and truck terminals, as well as third-party locations, and ethane from the Kinder Morgan Utopia pipeline to Nova Chemicals’ Corunna petrochemical complex in Sarnia, Ontario.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 and processing arrangements.</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Revenues generated in this segment include (i) storage and throughput fees at our crude oil, NGL and natural gas storage facilities, (ii) fees from natural gas and condensate processing services and from NGL fractionation and isomerization services and (iii) loading and unloading fees at our rail terminals.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2020, we owned, operated or employed a variety of long-term physical assets throughout the United States and Canada in this segment, including:</w:t>
      </w:r>
    </w:p>
    <w:p>
      <w:pPr>
        <w:spacing w:after="0" w:line="19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75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28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68 billion cubic feet (“Bcf”) of natural gas storage working gas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26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206,500 barrels per day, and an isomerization and fractionation facility in California with an aggregate processing capacity of approximately 15,000 barrels per day;</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22 crude oil and NGL rail terminals located throughout the United States and Canada;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330 miles of active pipelines that support our facilities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Storage and Terminalling Facilities</w:t>
      </w:r>
    </w:p>
    <w:p>
      <w:pPr>
        <w:spacing w:after="0" w:line="24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largest crude oil terminals are located in key market hubs, including Cushing, Oklahoma, St. James, Louisiana, Midland, Texas and Patoka, Illinois, and have connectivity to all major inbound and outbound pipelines and other terminals at these hubs.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are the largest provider of crude oil terminalling services in Cushing, Oklahoma, which is one of the largest physical trading hubs in the United States and is the delivery point for crude oil futures contracts traded on the NYMEX. Our Cushing Terminal has been designated by the NYMEX as an approved delivery location for crude oil delivered under the NYMEX light sweet crude oil futures contract.</w:t>
      </w:r>
    </w:p>
    <w:p>
      <w:pPr>
        <w:spacing w:after="0" w:line="21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Our Cushing terminal is connected to our long-haul pipelines from the Permian Basin and Rocky Mountain regions, as well as to our Central region gathering pipelines. Additionally the terminal supplies crude oil to all four of our joint venture, Central region long-haul pipelines.</w:t>
      </w:r>
    </w:p>
    <w:p>
      <w:pPr>
        <w:spacing w:after="0" w:line="173"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Our Midland terminal has access to all of our Permian Basin gathering pipelines, either through direct connections, or through our intra-basin pipelines in the Permian Basin. Likewise, the terminal is also either directly connected, or connected through our intra-basin pipelines to all four of our Permian Basin long-haul pipelines.</w:t>
      </w:r>
    </w:p>
    <w:p>
      <w:pPr>
        <w:spacing w:after="0" w:line="21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terminals at Corpus Christi, Texas, St. James, Louisiana and Mobile, Alabama all have docks and the capacity to export crude oil. In addition, our St James terminal has a rail unload facility that can move crude from rail cars to pipelines that service local refiners, or to our dock for export.</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Patoka and St. James terminals are both connected to Capline pipeline, and the terminals will be a receipt and destination facility, respectively, once Capline is placed into service in 2022.</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The table below presents our crude oil storage capacity by location as of December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Crude Oil Storage Facilities</w:t>
            </w:r>
          </w:p>
        </w:tc>
        <w:tc>
          <w:tcPr>
            <w:tcW w:w="140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 Capacity</w:t>
            </w:r>
          </w:p>
        </w:tc>
        <w:tc>
          <w:tcPr>
            <w:tcW w:w="0" w:type="dxa"/>
            <w:vAlign w:val="bottom"/>
          </w:tcPr>
          <w:p>
            <w:pPr>
              <w:spacing w:after="0"/>
              <w:rPr>
                <w:sz w:val="1"/>
                <w:szCs w:val="1"/>
                <w:color w:val="auto"/>
              </w:rPr>
            </w:pPr>
          </w:p>
        </w:tc>
      </w:tr>
      <w:tr>
        <w:trPr>
          <w:trHeight w:val="188"/>
        </w:trPr>
        <w:tc>
          <w:tcPr>
            <w:tcW w:w="9800" w:type="dxa"/>
            <w:vAlign w:val="bottom"/>
            <w:gridSpan w:val="2"/>
            <w:vMerge w:val="continue"/>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Cushing</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i w:val="1"/>
                <w:iCs w:val="1"/>
                <w:color w:val="auto"/>
              </w:rPr>
              <w:t>St. James</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Patoka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i w:val="1"/>
                <w:iCs w:val="1"/>
                <w:color w:val="auto"/>
              </w:rPr>
              <w:t>Permian Basin Area</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Mobile and Ten Mile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80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23"/>
                <w:szCs w:val="23"/>
                <w:i w:val="1"/>
                <w:iCs w:val="1"/>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3"/>
                <w:szCs w:val="23"/>
                <w:i w:val="1"/>
                <w:iCs w:val="1"/>
                <w:color w:val="auto"/>
                <w:vertAlign w:val="superscript"/>
              </w:rPr>
              <w:t>(2)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own 50% of this storage capacity through our investment in Eagle Ford Terminals Corpus Christi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Amount includes approximately 2 million barrels of storage capacity associated with our crude oil rail terminal operations.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Storage, Fractionation and Isomerization and Natural Gas Processing Facilities</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have a large integrated network of NGL storage and fractionation and natural gas processing facilities throughout Canada, as well as NGL storage and fractionation facilities in the United States. The tables below present volumes and capacities for these facilities as of December 31, 2020 and our most significant assets are described further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NGL Storage Facilities</w:t>
            </w: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 Capacity</w:t>
            </w:r>
          </w:p>
        </w:tc>
        <w:tc>
          <w:tcPr>
            <w:tcW w:w="0" w:type="dxa"/>
            <w:vAlign w:val="bottom"/>
          </w:tcPr>
          <w:p>
            <w:pPr>
              <w:spacing w:after="0"/>
              <w:rPr>
                <w:sz w:val="1"/>
                <w:szCs w:val="1"/>
                <w:color w:val="auto"/>
              </w:rPr>
            </w:pPr>
          </w:p>
        </w:tc>
      </w:tr>
      <w:tr>
        <w:trPr>
          <w:trHeight w:val="188"/>
        </w:trPr>
        <w:tc>
          <w:tcPr>
            <w:tcW w:w="60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224"/>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Fort Saskatchewan</w:t>
            </w:r>
          </w:p>
        </w:tc>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040" w:type="dxa"/>
            <w:vAlign w:val="bottom"/>
            <w:gridSpan w:val="3"/>
          </w:tcPr>
          <w:p>
            <w:pPr>
              <w:ind w:left="20"/>
              <w:spacing w:after="0"/>
              <w:rPr>
                <w:sz w:val="20"/>
                <w:szCs w:val="20"/>
                <w:color w:val="auto"/>
              </w:rPr>
            </w:pPr>
            <w:r>
              <w:rPr>
                <w:rFonts w:ascii="Arial" w:cs="Arial" w:eastAsia="Arial" w:hAnsi="Arial"/>
                <w:sz w:val="18"/>
                <w:szCs w:val="18"/>
                <w:i w:val="1"/>
                <w:iCs w:val="1"/>
                <w:color w:val="auto"/>
              </w:rPr>
              <w:t>Sarnia Area</w:t>
            </w:r>
          </w:p>
        </w:tc>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Empress Area</w:t>
            </w:r>
          </w:p>
        </w:tc>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Other</w:t>
            </w:r>
          </w:p>
        </w:tc>
        <w:tc>
          <w:tcPr>
            <w:tcW w:w="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20" w:type="dxa"/>
            <w:vAlign w:val="bottom"/>
          </w:tcPr>
          <w:p>
            <w:pPr>
              <w:spacing w:after="0"/>
              <w:rPr>
                <w:sz w:val="11"/>
                <w:szCs w:val="11"/>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11"/>
                <w:szCs w:val="11"/>
                <w:color w:val="auto"/>
              </w:rPr>
            </w:pPr>
          </w:p>
        </w:tc>
        <w:tc>
          <w:tcPr>
            <w:tcW w:w="174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rPr>
              <w:t xml:space="preserve">Spec Product </w:t>
            </w:r>
            <w:r>
              <w:rPr>
                <w:rFonts w:ascii="Arial" w:cs="Arial" w:eastAsia="Arial" w:hAnsi="Arial"/>
                <w:sz w:val="15"/>
                <w:szCs w:val="15"/>
                <w:b w:val="1"/>
                <w:bCs w:val="1"/>
                <w:color w:val="auto"/>
                <w:vertAlign w:val="superscript"/>
              </w:rPr>
              <w:t>(1)</w:t>
            </w:r>
          </w:p>
        </w:tc>
        <w:tc>
          <w:tcPr>
            <w:tcW w:w="14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88"/>
        </w:trPr>
        <w:tc>
          <w:tcPr>
            <w:tcW w:w="6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(Bbls/d)</w:t>
            </w: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24"/>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Empress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19,300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229"/>
        </w:trPr>
        <w:tc>
          <w:tcPr>
            <w:tcW w:w="6040" w:type="dxa"/>
            <w:vAlign w:val="bottom"/>
            <w:gridSpan w:val="3"/>
          </w:tcPr>
          <w:p>
            <w:pPr>
              <w:ind w:left="20"/>
              <w:spacing w:after="0"/>
              <w:rPr>
                <w:sz w:val="20"/>
                <w:szCs w:val="20"/>
                <w:color w:val="auto"/>
              </w:rPr>
            </w:pPr>
            <w:r>
              <w:rPr>
                <w:rFonts w:ascii="Arial" w:cs="Arial" w:eastAsia="Arial" w:hAnsi="Arial"/>
                <w:sz w:val="18"/>
                <w:szCs w:val="18"/>
                <w:i w:val="1"/>
                <w:iCs w:val="1"/>
                <w:color w:val="auto"/>
              </w:rPr>
              <w:t>Fort Saskatchewan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29"/>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Sarnia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47,200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Other</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82-100%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128,800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Gas</w:t>
            </w:r>
          </w:p>
        </w:tc>
        <w:tc>
          <w:tcPr>
            <w:tcW w:w="140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Gas</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14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35"/>
        </w:trPr>
        <w:tc>
          <w:tcPr>
            <w:tcW w:w="6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18"/>
                <w:szCs w:val="18"/>
                <w:b w:val="1"/>
                <w:bCs w:val="1"/>
                <w:color w:val="auto"/>
                <w:vertAlign w:val="superscript"/>
              </w:rPr>
              <w:t>(2)</w:t>
            </w:r>
          </w:p>
        </w:tc>
        <w:tc>
          <w:tcPr>
            <w:tcW w:w="20" w:type="dxa"/>
            <w:vAlign w:val="bottom"/>
          </w:tcPr>
          <w:p>
            <w:pPr>
              <w:spacing w:after="0"/>
              <w:rPr>
                <w:sz w:val="11"/>
                <w:szCs w:val="11"/>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Ownership Interest</w:t>
            </w:r>
          </w:p>
        </w:tc>
        <w:tc>
          <w:tcPr>
            <w:tcW w:w="20" w:type="dxa"/>
            <w:vAlign w:val="bottom"/>
          </w:tcPr>
          <w:p>
            <w:pPr>
              <w:spacing w:after="0"/>
              <w:rPr>
                <w:sz w:val="11"/>
                <w:szCs w:val="11"/>
                <w:color w:val="auto"/>
              </w:rPr>
            </w:pPr>
          </w:p>
        </w:tc>
        <w:tc>
          <w:tcPr>
            <w:tcW w:w="1740" w:type="dxa"/>
            <w:vAlign w:val="bottom"/>
            <w:gridSpan w:val="4"/>
          </w:tcPr>
          <w:p>
            <w:pPr>
              <w:jc w:val="center"/>
              <w:ind w:right="260"/>
              <w:spacing w:after="0" w:line="135" w:lineRule="exact"/>
              <w:rPr>
                <w:sz w:val="20"/>
                <w:szCs w:val="20"/>
                <w:color w:val="auto"/>
              </w:rPr>
            </w:pPr>
            <w:r>
              <w:rPr>
                <w:rFonts w:ascii="Arial" w:cs="Arial" w:eastAsia="Arial" w:hAnsi="Arial"/>
                <w:sz w:val="12"/>
                <w:szCs w:val="12"/>
                <w:b w:val="1"/>
                <w:bCs w:val="1"/>
                <w:color w:val="auto"/>
              </w:rPr>
              <w:t xml:space="preserve">Spec Product </w:t>
            </w:r>
            <w:r>
              <w:rPr>
                <w:rFonts w:ascii="Arial" w:cs="Arial" w:eastAsia="Arial" w:hAnsi="Arial"/>
                <w:sz w:val="15"/>
                <w:szCs w:val="15"/>
                <w:b w:val="1"/>
                <w:bCs w:val="1"/>
                <w:color w:val="auto"/>
                <w:vertAlign w:val="superscript"/>
              </w:rPr>
              <w:t>(1)</w:t>
            </w:r>
          </w:p>
        </w:tc>
        <w:tc>
          <w:tcPr>
            <w:tcW w:w="14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89"/>
        </w:trPr>
        <w:tc>
          <w:tcPr>
            <w:tcW w:w="6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(Bcf/d)</w:t>
            </w: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23"/>
        </w:trPr>
        <w:tc>
          <w:tcPr>
            <w:tcW w:w="5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United States Gulf Coast Area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040" w:type="dxa"/>
            <w:vAlign w:val="bottom"/>
            <w:gridSpan w:val="3"/>
          </w:tcPr>
          <w:p>
            <w:pPr>
              <w:ind w:left="20"/>
              <w:spacing w:after="0"/>
              <w:rPr>
                <w:sz w:val="20"/>
                <w:szCs w:val="20"/>
                <w:color w:val="auto"/>
              </w:rPr>
            </w:pPr>
            <w:r>
              <w:rPr>
                <w:rFonts w:ascii="Arial" w:cs="Arial" w:eastAsia="Arial" w:hAnsi="Arial"/>
                <w:sz w:val="18"/>
                <w:szCs w:val="18"/>
                <w:i w:val="1"/>
                <w:iCs w:val="1"/>
                <w:color w:val="auto"/>
              </w:rPr>
              <w:t>Empress Area</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volumes net to our share for the entire year.</w:t>
      </w:r>
    </w:p>
    <w:p>
      <w:pPr>
        <w:spacing w:after="0" w:line="117"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While natural gas processing volumes are presented, they are not indicative of revenues generated by these assets as fees associated with our natural gas processing activities are generally fixed.</w:t>
      </w:r>
    </w:p>
    <w:p>
      <w:pPr>
        <w:spacing w:after="0" w:line="200" w:lineRule="exact"/>
        <w:rPr>
          <w:sz w:val="20"/>
          <w:szCs w:val="20"/>
          <w:color w:val="auto"/>
        </w:rPr>
      </w:pPr>
    </w:p>
    <w:p>
      <w:pPr>
        <w:sectPr>
          <w:pgSz w:w="11900" w:h="16838" w:orient="portrait"/>
          <w:cols w:equalWidth="0" w:num="2">
            <w:col w:w="140" w:space="500"/>
            <w:col w:w="10560"/>
          </w:cols>
          <w:pgMar w:left="320" w:top="130" w:right="379" w:bottom="1440" w:gutter="0" w:footer="0" w:header="0"/>
          <w:type w:val="continuous"/>
        </w:sectPr>
      </w:pPr>
    </w:p>
    <w:p>
      <w:pPr>
        <w:spacing w:after="0" w:line="1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near Edmonton, Alberta in one of the key North American NGL hubs. The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is a receipt, storage, fractionation and delivery facility for NGL and is connected to other major NGL plants and pipeline systems in the area. The facility’s primary assets include 28 storage caverns. The facility includes assets operated by us and assets operated by a third party. Our ownership in the various facility assets ranges from approximately 21% to 100%. Our Fort Saskatchewan fractionation facility has a design capacity of 85,000 barrels per day and is able to produce up to approximately 50,000 barrels per day of spec propane, butane and condensate. The remaining capacity is used to produce a propane and butane mix, which is sent to our Sarnia facility for further fractionation. Through our 21% ownership in the Keyera Fort Saskatchewan fractionation plant, we have additional fractionation capacity of approximately 17,300 barrels per day.</w:t>
      </w:r>
    </w:p>
    <w:p>
      <w:pPr>
        <w:spacing w:after="0" w:line="20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Sarnia Area. </w:t>
      </w:r>
      <w:r>
        <w:rPr>
          <w:rFonts w:ascii="Arial" w:cs="Arial" w:eastAsia="Arial" w:hAnsi="Arial"/>
          <w:sz w:val="17"/>
          <w:szCs w:val="17"/>
          <w:color w:val="auto"/>
        </w:rPr>
        <w:t>Our Sarnia Area facilities in Southwestern Ontario consist of (i) our Sarnia facility, (ii) our Windsor storage terminal and (iii) our St.</w:t>
      </w:r>
      <w:r>
        <w:rPr>
          <w:rFonts w:ascii="Arial" w:cs="Arial" w:eastAsia="Arial" w:hAnsi="Arial"/>
          <w:sz w:val="17"/>
          <w:szCs w:val="17"/>
          <w:i w:val="1"/>
          <w:iCs w:val="1"/>
          <w:color w:val="auto"/>
        </w:rPr>
        <w:t xml:space="preserve"> </w:t>
      </w:r>
      <w:r>
        <w:rPr>
          <w:rFonts w:ascii="Arial" w:cs="Arial" w:eastAsia="Arial" w:hAnsi="Arial"/>
          <w:sz w:val="17"/>
          <w:szCs w:val="17"/>
          <w:color w:val="auto"/>
        </w:rPr>
        <w:t>Clair, Michigan terminal. The Sarnia facility is a large NGL fractionation and storage facility located in the Sarnia Chemical Valley that contains multiple rail and truck loading spots. The Sarnia Area facilities are served by a network of multiple pipelines connected to various refineries, chemical plants and other pipeline systems in the area. This pipeline network also delivers product between our Sarnia facility and our Windsor storage terminal in addition to the delivery capability from our Sarnia facility to our St. Clair terminal. The Sarnia Fractionator is the largest fractionation plant in Eastern Canada and receives NGL feedstock primarily from the Enbridge pipeline system. The fractionation unit is able to produce approximately 120,000 barrels per day of spec NGL products. Our ownership in the various processing units at the Sarnia Fractionator ranges from 62% to 84%.</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i w:val="1"/>
          <w:iCs w:val="1"/>
          <w:color w:val="auto"/>
        </w:rPr>
        <w:t xml:space="preserve">Empress Area. </w:t>
      </w:r>
      <w:r>
        <w:rPr>
          <w:rFonts w:ascii="Arial" w:cs="Arial" w:eastAsia="Arial" w:hAnsi="Arial"/>
          <w:sz w:val="17"/>
          <w:szCs w:val="17"/>
          <w:color w:val="auto"/>
        </w:rPr>
        <w:t>We own and/or operate four straddle plants located in the Empress Area, capable of processing up to 6.0 Bcf of natural gas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supply available to these plants are typically in the 2.5 to 3.5 Bcf per day range. These plants produce approximately 30,000 to 40,000 barrels per day of NGL which can be fractionated at either our Empress or Sarnia fractionators. Our Empress fractionation facility is capable of processing and producing up to 23,300 barrels per day of spec NGL products and is connected to our PPTC pipeline system.</w:t>
      </w:r>
    </w:p>
    <w:p>
      <w:pPr>
        <w:spacing w:after="0" w:line="19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have a long-term liquids supply and profit sharing contract with a third-party owned straddle plant, near Cochrane, Alberta, with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capacity of approximately 2.5 Bcf per day. NGL produced from this facility are transported on our Co-Ed pipeline system to our Fort Saskatchewan area assets, and then to our Sarnia fractionator via the Enbridge pipeline system. In addition, we own a facility located near Bakersfield, California that provides approximately 15,000 barrels per day of isomerization and fractionation services to producers and customers.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own two natural gas storage facilities with an aggregate commercial working gas capacity of approximately 68 Bcf in service as of December 31, 2020. Our natural gas storage facilities are strategically located within the Gulf Coast market and have a diverse group of customers, including liquefied natural gas (“LNG”) exporters, utilities, pipelines, producers, power generators and marketers whose storage needs vary from traditional seasonal storage services to hourly balancing. We are located near several major market hubs and our facilities have multiple physical interconnects with third-party interstate pipelines, intrastate pipelines and direct connect customers, serving markets in the Gulf Coast, Mid-Atlantic, Northeast, and Southeast regions of the United States.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Gardendale condensate processing facility is located in La Salle County, Texas. The facility stabilizes condensate that is primarily sourced from our Eagle Ford area gathering systems. The NGL extracted at this facility is delivered to a third-party pipeline that delivers the NGL to Mont Belvieu, Texas. The facility has a total processing capacity of 120,000 barrels per day and usable storage capacity of 160,000 barrels. Throughput at the Gardendale processing facility is supplied by long-term commitments from producers.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Rail Facilities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own crude oil rail loading facilities located at or near Carr, Colorado; Tampa, Colorado; Manitou, North Dakota; and Kerrobert, Saskatchewan. We own crude oil rail unloading facilities in St. James, Louisiana, Yorktown, Virginia and Bakersfield, California. The table below presents aggregate loading and unloading capacity for these facilities as of December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Loading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20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Ownership Interest</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Capacity</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(Bbls/d)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(Bbls/d)</w:t>
            </w: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Crude Oil Rail Facilities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264,000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Rail Facilities</w:t>
      </w:r>
    </w:p>
    <w:p>
      <w:pPr>
        <w:spacing w:after="0" w:line="256" w:lineRule="exact"/>
        <w:rPr>
          <w:sz w:val="20"/>
          <w:szCs w:val="20"/>
          <w:color w:val="auto"/>
        </w:rPr>
      </w:pPr>
    </w:p>
    <w:p>
      <w:pPr>
        <w:jc w:val="both"/>
        <w:ind w:right="200" w:firstLine="648"/>
        <w:spacing w:after="0" w:line="241" w:lineRule="auto"/>
        <w:rPr>
          <w:sz w:val="20"/>
          <w:szCs w:val="20"/>
          <w:color w:val="auto"/>
        </w:rPr>
      </w:pPr>
      <w:r>
        <w:rPr>
          <w:rFonts w:ascii="Arial" w:cs="Arial" w:eastAsia="Arial" w:hAnsi="Arial"/>
          <w:sz w:val="18"/>
          <w:szCs w:val="18"/>
          <w:color w:val="auto"/>
        </w:rPr>
        <w:t>We own 18 operational NGL rail facilities (including our Fort Saskatchewan rail facility, as well as facilities that can provide both crude oil and NGL service) strategically located near our NGL facilities as well as third-party distribution centers throughout Canada and the United States. Our NGL rail terminals are predominately utilized for internal purposes specifically for our supply and logistics activities. See our “Supply and Logistics Segment” discussion following this section for further discussion regarding the use of our rail terminals. The table below presents additional information regarding our NGL rail facilities as of December 31,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Ownership Interest</w:t>
            </w: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w w:val="91"/>
              </w:rPr>
              <w:t>Rack Spots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Storage Spots</w:t>
            </w:r>
          </w:p>
        </w:tc>
        <w:tc>
          <w:tcPr>
            <w:tcW w:w="0" w:type="dxa"/>
            <w:vAlign w:val="bottom"/>
          </w:tcPr>
          <w:p>
            <w:pPr>
              <w:spacing w:after="0"/>
              <w:rPr>
                <w:sz w:val="1"/>
                <w:szCs w:val="1"/>
                <w:color w:val="auto"/>
              </w:rPr>
            </w:pPr>
          </w:p>
        </w:tc>
      </w:tr>
      <w:tr>
        <w:trPr>
          <w:trHeight w:val="224"/>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NGL Rail Facilities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Supply and Logistics segment activities include the purchase, logistics and resale of crude oil and NGL in North America. Through these transactions, we seek to maintain a position that is substantially balanced between purchases and sales and future delivery obligations. The segment owns a significant volume of crude oil and NGL required to conduct our commercial activities. The crude oil and NGL used to support our ongoing commercial activities is classified as long-term assets and linefill or minimum inventory requirements. A summary of the assets employed to support our commercial activities, December 31, 2020, include approximately:</w:t>
      </w:r>
    </w:p>
    <w:p>
      <w:pPr>
        <w:spacing w:after="0" w:line="21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4 million barrels of crude oil and NGL utilized as linefill in pipelines owned by third parties or otherwise required as long-term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680 trucks and 840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6,000 crude oil and NGL railcars.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crude oil activities generally include the purchase of crude oil at the wellhead or at central tank batteries typically owned by the crude oil producer. We may also purchase crude oil at market hubs, such as our Cushing terminal, or in-transit in a pipeline. We typically transport our crude oil supply to market hub locations, or directly to refiners using our pipeline or trucking assets and, to a lesser extent, pipelines owned by third parties. We may also optimize the value of our supply by executing exchanges with third parties, where we may exchange qualities of crude oil or the location of our crude oil, and we would either pay or receive a fee for the differential in value for the quality or location of the crude oil. We may use derivative instruments such as the NYMEX futures market to hedge our exposure to crude oil prices. We also hedge the currency differential between the U.S. and Canadian dollar for crude oil purchased on a Canadian dollar basis and sold on a U.S. dollar basis.</w:t>
      </w:r>
    </w:p>
    <w:p>
      <w:pPr>
        <w:spacing w:after="0" w:line="2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crude oil supplies are typically sold to refiners, crude oil exporters, traders or other market participants. All crude oil sales arrangements are subject to credit approval. In certain circumstances, where the market value for prompt deliveries of crude oil is discounted to the value for deferred delivery (such conditions are referred to as a “Contango Market”) we may store crude oil in tanks included in our Facilities or Transportation segments and use a NYMEX futures contract to hedge the value of the stored crude oil.</w:t>
      </w:r>
    </w:p>
    <w:p>
      <w:pPr>
        <w:spacing w:after="0" w:line="21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NGL activities include the purchase of both NGL and the spec components propane and butane (“spec products”). Our NGL supply is typically sourced at our Empress facility, where we acquire the rights to extract NGL from producers and/or shippers of the gas streams that pass through our Empress facility. The extraction rights that we acquire allow us to process that gas at our Empress facility and extract the higher valued NGL from the gas stream. We then purchase natural gas to replace the thermal content attributable to the NGL that was extracted. Our NGL supply at Empress is then either fractionated into spec products at our Empress fractionator, or transported on a third-party pipeline and fractionated into spec products at our Sarnia fractionator. Often times we will use derivative instruments to hedge the differential between natural gas prices and the spec product prices to ensure that we are able to extract and fractionate NGL, and deliver spec products to markets at a profitable margin.</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acquire spec products from third parties. The majority of the spec products we purchase are at the end (“tailgate”) of our Fort Saskatchewan fractionator; however, we may also purchase butane from refiners and propane and/or butane from third-party processors. Some of the spec product we purchase at Fort Saskatchewan is combined into a propane/butane mix and transported on a third-party pipeline to our Sarnia fractionator. The spec products that we own are transported by pipeline, rail or truck and either delivered to one of our storage facilities, or delivered and sold to a third party. Similar to our crude oil activities, spec products may be profitably stored when there is a Contango Market. The value of the stored product is hedged using various derivative instruments.</w:t>
      </w:r>
    </w:p>
    <w:p>
      <w:pPr>
        <w:spacing w:after="0" w:line="21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i w:val="1"/>
          <w:iCs w:val="1"/>
          <w:color w:val="auto"/>
        </w:rPr>
        <w:t xml:space="preserve">Credit. </w:t>
      </w:r>
      <w:r>
        <w:rPr>
          <w:rFonts w:ascii="Arial" w:cs="Arial" w:eastAsia="Arial" w:hAnsi="Arial"/>
          <w:sz w:val="16"/>
          <w:szCs w:val="16"/>
          <w:color w:val="auto"/>
        </w:rPr>
        <w:t>Our supply and logistics activities require significant extensions of credit by our suppliers. In order to assure our ability to perform our</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Because our typical sales transactions can involve large volumes of crude oil, the risk of nonpayment and nonperformance by customers is a major consideration in our business. We believe our sales are made to creditworthy entities or entities with adequate credit support. 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 See Note 3 to our Consolidated Financial Statements for further discussion of our credit review process and risk management procedures.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80" w:type="dxa"/>
            <w:vAlign w:val="bottom"/>
          </w:tcPr>
          <w:p>
            <w:pPr>
              <w:jc w:val="right"/>
              <w:ind w:right="437"/>
              <w:spacing w:after="0"/>
              <w:rPr>
                <w:sz w:val="20"/>
                <w:szCs w:val="20"/>
                <w:color w:val="auto"/>
              </w:rPr>
            </w:pPr>
            <w:r>
              <w:rPr>
                <w:rFonts w:ascii="Arial" w:cs="Arial" w:eastAsia="Arial" w:hAnsi="Arial"/>
                <w:sz w:val="14"/>
                <w:szCs w:val="14"/>
                <w:b w:val="1"/>
                <w:bCs w:val="1"/>
                <w:color w:val="auto"/>
              </w:rPr>
              <w:t>Volumes</w:t>
            </w:r>
          </w:p>
        </w:tc>
        <w:tc>
          <w:tcPr>
            <w:tcW w:w="0" w:type="dxa"/>
            <w:vAlign w:val="bottom"/>
          </w:tcPr>
          <w:p>
            <w:pPr>
              <w:spacing w:after="0"/>
              <w:rPr>
                <w:sz w:val="1"/>
                <w:szCs w:val="1"/>
                <w:color w:val="auto"/>
              </w:rPr>
            </w:pPr>
          </w:p>
        </w:tc>
      </w:tr>
      <w:tr>
        <w:trPr>
          <w:trHeight w:val="188"/>
        </w:trPr>
        <w:tc>
          <w:tcPr>
            <w:tcW w:w="14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c>
          <w:tcPr>
            <w:tcW w:w="0" w:type="dxa"/>
            <w:vAlign w:val="bottom"/>
          </w:tcPr>
          <w:p>
            <w:pPr>
              <w:spacing w:after="0"/>
              <w:rPr>
                <w:sz w:val="1"/>
                <w:szCs w:val="1"/>
                <w:color w:val="auto"/>
              </w:rPr>
            </w:pPr>
          </w:p>
        </w:tc>
      </w:tr>
      <w:tr>
        <w:trPr>
          <w:trHeight w:val="224"/>
        </w:trPr>
        <w:tc>
          <w:tcPr>
            <w:tcW w:w="9640" w:type="dxa"/>
            <w:vAlign w:val="bottom"/>
            <w:gridSpan w:val="3"/>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30"/>
        </w:trPr>
        <w:tc>
          <w:tcPr>
            <w:tcW w:w="9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NGL sales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9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Supply and Logistics segment total volumes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r>
              <w:rPr>
                <w:rFonts w:ascii="Arial" w:cs="Arial" w:eastAsia="Arial" w:hAnsi="Arial"/>
                <w:sz w:val="12"/>
                <w:szCs w:val="12"/>
                <w:color w:val="auto"/>
                <w:w w:val="81"/>
              </w:rPr>
              <w:t>(1)</w:t>
            </w:r>
          </w:p>
        </w:tc>
        <w:tc>
          <w:tcPr>
            <w:tcW w:w="9500" w:type="dxa"/>
            <w:vAlign w:val="bottom"/>
            <w:gridSpan w:val="2"/>
            <w:vMerge w:val="restart"/>
          </w:tcPr>
          <w:p>
            <w:pPr>
              <w:ind w:left="500"/>
              <w:spacing w:after="0"/>
              <w:rPr>
                <w:sz w:val="20"/>
                <w:szCs w:val="20"/>
                <w:color w:val="auto"/>
              </w:rPr>
            </w:pPr>
            <w:r>
              <w:rPr>
                <w:rFonts w:ascii="Arial" w:cs="Arial" w:eastAsia="Arial" w:hAnsi="Arial"/>
                <w:sz w:val="18"/>
                <w:szCs w:val="18"/>
                <w:color w:val="auto"/>
              </w:rPr>
              <w:t>Of this amount, approximately 862 MBbls/d were purchased in the Permian Basin.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9500" w:type="dxa"/>
            <w:vAlign w:val="bottom"/>
            <w:gridSpan w:val="2"/>
            <w:vMerge w:val="continue"/>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Crude oil, NGL and natural gas commodity prices have historically been very volatile. For example, in the last year, the prompt month NYMEX light, sweet futures contract (commonly referred to as “WTI”) price ranged from a low of approximately minus $38 per barrel to a high of approximately $63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has in the past, and may in the future create market conditions that are more challenging to our business model. In extended periods of lower crude oil and/or NGL prices, or periods where the supply and demand fundamentals compress regional location differentials, our financial results may be adversely impacted. In such market conditions, product flows on our pipelines in our Transportation segment may be adversely impacted and/or our Supply and Logistics segment may not fully recover its costs on certain transactions. Alternatively, in periods where supply exceeds regional demand and/or pipeline egress, product flows on our pipelines may be favorably impacted and/or our Supply and Logistics segment may be able to capture additional margins. In executing our business model, we employ a variety of financial risk management tools and techniques, predominantly in our Supply and Logistics segment. These are discussed in greater detail in the “—Risk Management” section below.</w:t>
      </w:r>
    </w:p>
    <w:p>
      <w:pPr>
        <w:spacing w:after="0" w:line="211" w:lineRule="exact"/>
        <w:rPr>
          <w:sz w:val="20"/>
          <w:szCs w:val="20"/>
          <w:color w:val="auto"/>
        </w:rPr>
      </w:pPr>
    </w:p>
    <w:p>
      <w:pPr>
        <w:ind w:right="60" w:firstLine="693"/>
        <w:spacing w:after="0" w:line="263" w:lineRule="auto"/>
        <w:rPr>
          <w:sz w:val="20"/>
          <w:szCs w:val="20"/>
          <w:color w:val="auto"/>
        </w:rPr>
      </w:pPr>
      <w:r>
        <w:rPr>
          <w:rFonts w:ascii="Arial" w:cs="Arial" w:eastAsia="Arial" w:hAnsi="Arial"/>
          <w:sz w:val="18"/>
          <w:szCs w:val="18"/>
          <w:color w:val="auto"/>
        </w:rPr>
        <w:t>Relative contribution levels will vary from quarter-to-quarter due to seasonality, particularly with respect to our NGL activities in our Supply and Logistics segment. However, we expect that (absent material outperformance in our Supply and Logistics segment) our fee-based Transportation and Facilities segments should comprise more than 90% of our aggregate segment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9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13%, 12% and 14% of our revenues for the years ended December 31, 2020, 2019 and 2018, respectively. ExxonMobil Corporation and its subsidiaries accounted for 12%, 12% and 14% of our revenues for the years ended December 31, 2020, 2019 and 2018, respectively. Phillips 66 Company and its subsidiaries accounted for 11% of our revenues for the year ended December 31, 2019. No other customers accounted for 10% or more of our revenues during any of the three years ended December 31, 2020.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16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for the foreseeable future. As a result of multiple pipeline expansions that have occurred or are being completed in the Permian Basin and other areas, together with meaningful reductions in expected production growth due to COVID-19 impacts, we anticipate competition for uncommitted barrels and contract renewals and extensions will be amplified in the coming years, increasing our contract renewal and customer retention risk.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The addition of new pipelines supported by minimum volume commitments and/or acreage dedications could also amplify the level of competition for purchasing wellhead barrels, especially in the Permian Basin and thus impact our margins.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and wildlife,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Safety and Environmental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operations involving the storage, treatment, processing and transportation of liquid and gaseous hydrocarbons, including crude oil, are subject to stringent federal, state, provincial and local laws and regulations governing the discharge of materials into the environment or otherwise relating to protection of the environment, including wildlife.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Canada Energy Regulator (“CER”), formerly the National Energy Board, and provincial agencies.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$41 million in 2020. Based on currently available information, our preliminary estimate for 2021 is that we will incur approximately $32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$24 million in 2020, and our preliminary estimate for 2021 is that we will incur approximately $18 million of such costs.</w:t>
      </w:r>
    </w:p>
    <w:p>
      <w:pPr>
        <w:spacing w:after="0" w:line="21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PHMSA was reauthorized and the HLPSA was amended in 2011, 2016 and 2020. The regulatory changes precipitated by these actions have increased our cost to operate. For example, in October 2019, PHMSA published three final rules that create or expand reporting, inspection, maintenance and other pipeline safety obligations. Additionally, in the Fiscal Year 2021 Omnibus Appropriations Bill,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rulemakings. Congress has also instructed PHMSA to issue final regulations that will require operators of non-rural gas gathering lines and new and existing transmission and distribution pipeline facilities to conduct certain leak detection and repair programs and to require facility inspection and maintenance plans to align with those regulations.</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October 2015, the Governor of California signed the Oil Spill Response: Environmentally and Ecologically Sensitive Areas Bill (“AB-864”) which requires new and existing pipelines located near environmentally and ecologically sensitive areas (“EESA”) connected to or located in the coastal zone to use best available technologies (“BAT”) to reduce the amount of oil released in an oil spill to protect state waters and wildlife. BAT includes, but is not limited to, installation of leak detection technologies, automatic shutoff systems, or remote controlled sectionalized block valves, or any combination of these technologies based on a risk analysis conducted by the operator. The Regulation became effective on October 1, 2020. Milestone dates include: May 1, 2021 – Requests for exemption (for pipelines located outside the Coastal Zone, if the operator can show through spill modeling / risk analysis that a release would not impact the coastal zone portion of an EESA) or deferral (pipeline already employing BAT) from the provisions of this Article shall be submitted to the State Fire Marshal no later than this date; October 1, 2021 – Submittal of Risk analysis, BAT evaluation, and implementation plan for existing pipelines; and April 1, 2023 – Completion of retrofit of existing pipelines with BAT is due. Compliance with these requirements will impact our pipeline operations in California and add to the cost to operate the pipelines subject to these rules.</w:t>
      </w:r>
    </w:p>
    <w:p>
      <w:pPr>
        <w:spacing w:after="0" w:line="19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DOT has generally adopted American Petroleum Institute Standard (“API”) 653 as the standard for the inspection, repair, alteration and reconstruction of steel above ground petroleum storage tanks subject to DOT jurisdiction. API 653 requires regularly scheduled inspection and repair of tanks remaining in service. In the United States, our costs associated with this program were approximately $27 million in 2020. For 2021, we have budgeted approximately $30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Canada, the CER and provincial agencies regulate the safety and integrity management of pipelines and storage tanks used for hydrocarbon transmission. We have incurred and will continue to incur costs related to such regulatory requirements.</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continue to implement Pipeline, Facility and Cavern Integrity Management Programs to comply with applicable regulatory requirements and assist in our efforts to mitigate risk. Costs incurred for such integrity management activities were approximately $69 million in 2020. We are increasing our integrity dig and pipeline replacement projects to ensure safe and reliable operations as we seek to expand volumes on certain of our systems. Our preliminary estimate for 2021 is that we will incur approximately $81 million of costs on such projects.</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cannot predict the potential costs associated with additional, future regulation. Significant additional expenses could be incurred,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additional operational requirements and constraints could be imposed, if new or more stringently interpreted pipeline safety requirements are implemented.</w:t>
      </w:r>
    </w:p>
    <w:p>
      <w:pPr>
        <w:spacing w:after="0" w:line="261" w:lineRule="exact"/>
        <w:rPr>
          <w:sz w:val="20"/>
          <w:szCs w:val="20"/>
          <w:color w:val="auto"/>
        </w:rPr>
      </w:pPr>
    </w:p>
    <w:p>
      <w:pPr>
        <w:jc w:val="center"/>
        <w:ind w:right="882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subject to more rigorous and costly disposal requirements, resulting in additional capital expenditures or operating expenses.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20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In November 2019, the EPA finalized revisions to the RMP rules, removing requirements related to public disclosure, third-party audits and post-incident root cause analyses, among others. However, several environmental groups and trade unions have challenged the EPA’s revised rule. OSHA has announced that it is considering similar revisions to the PSM rule, but, to date, has not issued a Notice of Proposed Rulemaking. The potential for further revisions to either the RMP or PSM rule is uncertain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United States operations are subject to the United States Clean Air Act (“Clean Air Act”), comparable state laws and associated federal, state and local regulations. Our Canadian operations are also subject to federal and provincial air emission regulations, which are discussed in subsequent sections.</w:t>
      </w:r>
    </w:p>
    <w:p>
      <w:pPr>
        <w:spacing w:after="0" w:line="211"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EPA has adopted rules for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214" w:lineRule="exact"/>
        <w:rPr>
          <w:sz w:val="20"/>
          <w:szCs w:val="20"/>
          <w:color w:val="auto"/>
        </w:rPr>
      </w:pPr>
    </w:p>
    <w:p>
      <w:pPr>
        <w:ind w:firstLine="648"/>
        <w:spacing w:after="0" w:line="349" w:lineRule="auto"/>
        <w:rPr>
          <w:sz w:val="20"/>
          <w:szCs w:val="20"/>
          <w:color w:val="auto"/>
        </w:rPr>
      </w:pPr>
      <w:r>
        <w:rPr>
          <w:rFonts w:ascii="Arial" w:cs="Arial" w:eastAsia="Arial" w:hAnsi="Arial"/>
          <w:sz w:val="16"/>
          <w:szCs w:val="16"/>
          <w:color w:val="auto"/>
        </w:rPr>
        <w:t>In 2016, the EPA finalized regulations affecting new, modified and reconstructed sources of air emission in the oil and natural gas sectors (NSPS Subpart OOOOa) that required significant reductions in fugitive methane emissions from certain upstream and midstream oil and gas facilities. We had one natural gas storage facility for which a portion was subject to this regulation. In late 2020, the EPA rescinded the methane requirements of this rule, such that no Plains facility is now affected. There is a possibility that the Biden administration may reverse these changes, and we will continue to monitor these developments. For the period during which our single facility was subject to these requirements, compliance costs were not material.</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215" w:lineRule="exact"/>
        <w:rPr>
          <w:sz w:val="20"/>
          <w:szCs w:val="20"/>
          <w:color w:val="auto"/>
        </w:rPr>
      </w:pPr>
    </w:p>
    <w:p>
      <w:pPr>
        <w:jc w:val="both"/>
        <w:ind w:right="80" w:firstLine="648"/>
        <w:spacing w:after="0" w:line="296" w:lineRule="auto"/>
        <w:rPr>
          <w:sz w:val="20"/>
          <w:szCs w:val="20"/>
          <w:color w:val="auto"/>
        </w:rPr>
      </w:pPr>
      <w:r>
        <w:rPr>
          <w:rFonts w:ascii="Arial" w:cs="Arial" w:eastAsia="Arial" w:hAnsi="Arial"/>
          <w:sz w:val="16"/>
          <w:szCs w:val="16"/>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submitted its first compliance report in 2019.</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California has also implemented several climate change initiatives via executive order. Executive Order B-30-15 was signed by California’s Governor in mid-2015. This Executive Order requires a 40% reduction in GHG emissions from the 1990 baseline level by 2030. Compliance with this reduction requirement may necessitate the lowering of the threshold for industrial facilities required to participate in the GHG cap and trade program. In late 2020, the governor of California issued an executive order setting targets on the limitation or phase-out of the sale of petroleum-fueled passenger, commercial, and off-road vehicles over the next 15 to 25 years. A number of other states are working to implement zero-emission vehicle requirements or targets. Separately, in October 2020, the Governor of California signed another executive order that establishes a state goal to conserve at least 30% of California’s land and coastal waters by 2030 and directs state agencies to implement other measures to mitigate climate change and strengthen biodiversity.</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In December 2015, the Paris Agreement was signed at the 21st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is currently a signatory to the Paris Agreement. The Paris Agreement is likely to become a significant driver for future potential GHG reduction programs in participating countries, including the United States. President Biden has announced that climate change policy will be a focal point of his administration, and legislative or regulatory initiatives may be developed that may impose additional restrictions on our operations. In January 2021, President Biden signed an executive order directing the Secretary of the Interior to pause new oil and gas leases on public lands and in offshore waters of the United States. The Biden administration could also pursue the imposition of more restrictive requirements for the establishment of pipeline infrastructure or more restrictive GHG emissions limitations for oil and gas facilities. There is also a risk that financial institutions may be required to adopt policies that have the effect of reducing the funding available to the hydrocarbon energy sector. The Federal Reserve recently announced that it has joined the Network for Greening the Financial System, a consortium of financial regulators focused on addressing climate-related risks in the financial sector.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21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Large emitters of GHG have been required to report their emissions under the Canadian Greenhouse Gas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Program since 2004. Effective January 1, 2018, the Federal Department of Environment and Climate Change lowered the reporting threshold for all facilities from 50 thousand tonnes per year (“kt/y”) to 10 kt/y GHG emissions. This has resulted in one additional PMC facility (for a total of four locations) being currently required to prepare annual reports of their emissions. The associated cost with this reporting requirement is not considered to be material.</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December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to assess success among member nations in attaining objectives and targets under this agreement. The Government of Canada has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will start at CAD$20 per tonne in 2019 and rise by CAD$10 per year to reach CAD$50 per tonne in 2022) and an output based pricing system (“OBPS”) designed to address competitiveness risk for large emitters. However, legislation has been proposed which, if enacted, may increase the carbon prices charged on businesses in jurisdictions subject to the federal program.</w:t>
      </w:r>
    </w:p>
    <w:p>
      <w:pPr>
        <w:spacing w:after="0" w:line="21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November 2020, the Federal government introduced proposed legislation that would commit the government to reach net-zero GHG emissions by 2050 through setting legally-binding, five-year emissions reduction targets (2030, 2035, 2040 and 2045). The impact of this proposed legislation on PMC operations cannot be determined until the legislation is passed and details of emission reduction targets are disclosed.</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2020, the Federal government released a Climate Plan signaling its intent to increase the Federal price on carbon pollution from CAD$30 per tonne to CAD$50 per tonne in 2022 with a further annual increase of CAD$15 per year up to CAD$170 per tonne in 2030. Legislation has not yet been passed for the increase in price on carbon. Costs for compliance with any increase in cost of carbon will be budgeted annually as part of ordinary operating cost processes.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April 2018, the Federal Department of Environment and Climate Change introduced regulations designed to reduce methane emissions by up to 45% by 2025 (from 2012 levels) from oil and natural gas facilities. The scope and requirements of the proposed rule are similar to the EPA methane rules described above. Effective June 2017, the Federal Department of Environment and Climate Change has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Provincial Regulations</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Ontario</w:t>
      </w:r>
      <w:r>
        <w:rPr>
          <w:rFonts w:ascii="Arial" w:cs="Arial" w:eastAsia="Arial" w:hAnsi="Arial"/>
          <w:sz w:val="17"/>
          <w:szCs w:val="17"/>
          <w:color w:val="auto"/>
        </w:rPr>
        <w:t>. In February 2015, the Ontario Ministry of Environment and Climate Change issued a discussion paper that identified carbon pricing as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action necessary to reduce emissions of GHGs. In April 2015, the Ontario government announced it would be implementing a GHG cap and trade program, which would be implemented through the Western Climate Initiative (“WCI”), which included Quebec and California. Mandatory participants for the program were responsible for their emissions starting January 1, 2017. PMC’s facility at Sarnia was considered a mandatory participant in the program. Compliance with the federal OBPS is not expected to have a material adverse effect on our operations.</w:t>
      </w:r>
    </w:p>
    <w:p>
      <w:pPr>
        <w:spacing w:after="0" w:line="20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July 2019, the Ontario government implemented the Emissions Performance Standards (“EPS”) regulation as a successor program to the repealed GHG cap and trade program. In September 2020, the Federal government accepted the EPS program as equivalent to the OBPS which allows Ontario to move forward with implementing the EPS. Ontario has yet to specify the start date of the EPS and must update regulations to bring the EPS program into effect. Until the EPS comes into force, the PMC Sarnia facility is subject to the OBPS program. Costs for compliance with the OBPS or EPS is budgeted annually and is not expected to have a material effect on operations.</w:t>
      </w:r>
    </w:p>
    <w:p>
      <w:pPr>
        <w:spacing w:after="0" w:line="20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2018, the Ontario government introduced an updated Sulphur Dioxide (“SO2”) standard which requires the reduction of SO2 from the current one hour average emission rate of 690 micrograms per cubic meter of air (“µg/m3”) to the new one hour standard of 100 µg/m3 by 2023 at industrial facilities. The introduction of this reduction measure requires evaluation of current emissions and may require equipment upgrades at our Sarnia facility. The evaluation process has not been concluded and the impact of the standard is still under review.</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Alberta. </w:t>
      </w:r>
      <w:r>
        <w:rPr>
          <w:rFonts w:ascii="Arial" w:cs="Arial" w:eastAsia="Arial" w:hAnsi="Arial"/>
          <w:sz w:val="16"/>
          <w:szCs w:val="16"/>
          <w:color w:val="auto"/>
        </w:rPr>
        <w:t>The Alberta Climate Change and Emissions Management Act provided a framework for managing GHG emissions with the intent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specified gas emissions to 50% of 1990 levels by December 31, 2020. The Specified Gas Emitters Regulation (“SGER”) was the initial program introduced which imposed GHG emissions limits on large emitters and required reductions in GHG emissions intensity. In January 2018, the SGER was replaced with the Carbon Competitive Incentive Regulation (“CCIR”) for compliance years 2018 and 2019. In January 2020, the Emissions Management and Climate Resilience Act replaces the Climate Change and Emissions Management Act and the CCIR was replaced with the Technology Innovation and Emissions Reduction (“TIER”) regulation. Compliance options under the TIER are similar to those under the previous SGER and CCIR programs such that</w:t>
      </w:r>
    </w:p>
    <w:p>
      <w:pPr>
        <w:spacing w:after="0" w:line="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GHG fund credit purchase will be required if reduction targets identified under the program are not attained. PMC’s Empress VI facility is a mandatory participant under the TIER. For economic reasons, Ft. Saskatchewan and six other PMC facilities have opted in to be a part of the TIER program for 2020. By opting in, the fuel consumption at these asset locations avoid being subject to the federal fuel charge.</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Alberta repealed the provincial “Climate Leadership Act” in May 2019 and removed its provincial carbon pricing program. The province is now subject to the federal carbon pricing program. Assets within the TIER program are exempt from the federal carbon pricing program but other fuel consumption as part of operations is subject to the federal levies. The federal fuel charge cost increase has been captured as part of the annual budgeting cycle.</w:t>
      </w:r>
    </w:p>
    <w:p>
      <w:pPr>
        <w:spacing w:after="0" w:line="21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association with the federal methane reduction targets, the Alberta Energy Regulator amended Directive 60 to outline reduction requirements. New reporting measures and requirements for fugitive emission surveys and methane emission reduction came into force in January 2020. Cost for reporting and completing surveys have been captured within the 2020 and beyond annual operational budgets.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i w:val="1"/>
          <w:iCs w:val="1"/>
          <w:color w:val="auto"/>
        </w:rPr>
        <w:t>Other Canadian Jurisdictions</w:t>
      </w:r>
      <w:r>
        <w:rPr>
          <w:rFonts w:ascii="Arial" w:cs="Arial" w:eastAsia="Arial" w:hAnsi="Arial"/>
          <w:sz w:val="18"/>
          <w:szCs w:val="18"/>
          <w:color w:val="auto"/>
        </w:rPr>
        <w:t>. Nova Scotia and Quebec Cap and Trade programs cover propane supplied by PMC into the Nova Scotia and</w:t>
      </w:r>
      <w:r>
        <w:rPr>
          <w:rFonts w:ascii="Arial" w:cs="Arial" w:eastAsia="Arial" w:hAnsi="Arial"/>
          <w:sz w:val="18"/>
          <w:szCs w:val="18"/>
          <w:i w:val="1"/>
          <w:iCs w:val="1"/>
          <w:color w:val="auto"/>
        </w:rPr>
        <w:t xml:space="preserve"> </w:t>
      </w:r>
      <w:r>
        <w:rPr>
          <w:rFonts w:ascii="Arial" w:cs="Arial" w:eastAsia="Arial" w:hAnsi="Arial"/>
          <w:sz w:val="18"/>
          <w:szCs w:val="18"/>
          <w:color w:val="auto"/>
        </w:rPr>
        <w:t>Quebec markets. PMC is required to purchase GHG emission credits and submit annual compliance reports under each province’s respective Cap and Trade program. Program compliance costs will be passed along to the purchaser. Effective April 1, 2019, the federal carbon pricing program came into effect for provinces that do not have a carbon pricing program in place. This includes Saskatchewan, Manitoba, Ontario and New Brunswick. Program compliance costs will be passed along to the purchaser.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21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for over 35 years, the U.S.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the NWP program under the CWA. In April 2020, the U.S. District Court for the District of Montana invalidated the 2017 decision by the Corps to reissue the NWP; however, industry groups appealed the decision, and the NWP was reinstated by the U.S. Supreme Court, pending a U.S. Circuit Court appeal process. We anticipate that the appeal will be decided in 2021. Additionally, in response to the vacatur, the Corps has announced a reissuance of the NWP 12 for oil and natural gas pipeline activities, including certain revisions to the conditions for the use of NWP 12; however, the rule has not been officially published and, with President Biden taking office in January 2021, may be subject to further revisions or suspension. While the full extent and impact of the vacatur is unclear at this time, we could face significant delays and financial costs when seeking project approvals from the Corps if we cannot obtain coverage under NWP 12.</w:t>
      </w:r>
    </w:p>
    <w:p>
      <w:pPr>
        <w:spacing w:after="0" w:line="19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May 2015, the EPA published a final rule that attempted to clarify federal jurisdiction under the CWA over waters of the United States (“WOTUS”). This clarification greatly expanded the definition of WOTUS, thus increasing the jurisdiction of the Corps. Following the issuance of a presidential executive order to review the rule in January 2017, the EPA and the Corps proposed a rulemaking in June 2017 to repeal the May 2015 rule. The EPA and Corps also announced their intent to issue a new rule defining the CWA’s jurisdiction and finalized a stay delaying implementation of the 2015 rule for two years. Several states and environmental organizations announced their intent to challenge the stay and any attempt by the EPA and the Corps to rescind or revise the rule. However, on April 21, 2020, the EPA and the Corps announced the 2020 Final Rule concerning the redefinition of WOTUS. The 2020 Final Rule provides the outer bounds of the federal waters covered under the CWA’s key permitting programs such as Section 404 dredge and fill permits, Section 402 discharge permits and Section 311 oil spill prevention plans. The Final Rule took effect on June 22, 2020. In general, the 2020 Final Rule resulted in fewer federally regulated waters under the CWA offering a streamlined list of only four clear categories of jurisdictional waters and 12 exclusions. A decrease in mitigation requirements is expected, with traditional wetland states (e.g., Louisiana) and states in the arid west (e.g., Texas) expected to be among the most affected by the new rule. However, legal challenges to this rulemaking are ongoing, and it is possible that the new presidential administration could propose a broader interpretation of WOTUS.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5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5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U.S. Federal Energy Regulatory Commission (“FERC”) under the Interstate Commerce Act (“ICA”). The ICA requires that tariff rates for liquids pipelines, which include both crude oil pipelines and refined products pipelines, be just and reasonable and non-discriminatory. Failure to comply with the requirements of the ICA could result in the imposition of civil or criminal penalties.</w:t>
      </w:r>
    </w:p>
    <w:p>
      <w:pPr>
        <w:spacing w:after="0" w:line="21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State Regulation in the United States. </w:t>
      </w:r>
      <w:r>
        <w:rPr>
          <w:rFonts w:ascii="Arial" w:cs="Arial" w:eastAsia="Arial" w:hAnsi="Arial"/>
          <w:sz w:val="17"/>
          <w:szCs w:val="17"/>
          <w:color w:val="auto"/>
        </w:rPr>
        <w:t>Our intrastate liquids pipeline transportation activities are subject to various state laws and regulations,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U.S. Energy Policy Act of 1992 and Subsequent Developments. </w:t>
      </w:r>
      <w:r>
        <w:rPr>
          <w:rFonts w:ascii="Arial" w:cs="Arial" w:eastAsia="Arial" w:hAnsi="Arial"/>
          <w:sz w:val="16"/>
          <w:szCs w:val="16"/>
          <w:color w:val="auto"/>
        </w:rPr>
        <w:t>In October 1992, Congress passed the Energy Policy Act of 1992 (“EPAct”),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Pursuant to a December 2020 Order, commencing July 1, 2021, the annual index adjustment for the five year period ending June 30, 2026 will equal the producer price index for finished goods for the applicable year plus an adjustment factor of 0.78%. Rehearing of the December 2020 Order has been requested, and the requests remain pending before FERC.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rates. The FERC, however, retained cost-of-service ratemaking, market-based rates and settlement rates as alternatives to the indexing approach that may be used in certain specified circumstances. Because the indexing methodology for the next five-year period is tied in part to an inflation index and is not based on our specific costs, the indexing methodology could hamper our ability to recover cost increases.</w:t>
      </w:r>
    </w:p>
    <w:p>
      <w:pPr>
        <w:spacing w:after="0" w:line="20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rate or rules as unduly discriminatory or preferential.</w:t>
      </w:r>
    </w:p>
    <w:p>
      <w:pPr>
        <w:spacing w:after="0" w:line="20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Pipeline Rate Regulation in the United States</w:t>
      </w:r>
      <w:r>
        <w:rPr>
          <w:rFonts w:ascii="Arial" w:cs="Arial" w:eastAsia="Arial" w:hAnsi="Arial"/>
          <w:sz w:val="17"/>
          <w:szCs w:val="17"/>
          <w:color w:val="auto"/>
        </w:rPr>
        <w:t>. The FERC historically has not investigated rates of liquids pipelines on its own initiative when</w:t>
      </w:r>
      <w:r>
        <w:rPr>
          <w:rFonts w:ascii="Arial" w:cs="Arial" w:eastAsia="Arial" w:hAnsi="Arial"/>
          <w:sz w:val="17"/>
          <w:szCs w:val="17"/>
          <w:i w:val="1"/>
          <w:iCs w:val="1"/>
          <w:color w:val="auto"/>
        </w:rPr>
        <w:t xml:space="preserve"> </w:t>
      </w:r>
      <w:r>
        <w:rPr>
          <w:rFonts w:ascii="Arial" w:cs="Arial" w:eastAsia="Arial" w:hAnsi="Arial"/>
          <w:sz w:val="17"/>
          <w:szCs w:val="17"/>
          <w:color w:val="auto"/>
        </w:rPr>
        <w:t>those rates have not been the subject of a protest or complaint by a shipper. The majority of our Transportation segment profit in the United States is produced by rates that are either grandfathered or set by agreement with one or more shippers. These rates remain regulated by FERC and are subject to challenge or review and modification by FERC consistent with the requirements of the ICA, which requires that tariff rates for liquids pipelines, which include both crude oil pipelines and refined products pipelines, be just and reasonable and non-discriminatory. See Item 1A. “Risk Factors—Risks Related to Laws and Regulations Impacting PAA’s Business—PAA’s assets are subject to federal, state and provincial regulation. Rate regulation or a successful challenge to the rates PAA charges on its U.S. and Canadian pipeline systems may reduce the amount of cash it generates.” for additional discussion on how our rates could be impacted by this policy change.</w:t>
      </w:r>
    </w:p>
    <w:p>
      <w:pPr>
        <w:spacing w:after="0" w:line="20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CER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Indigenous Protections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Supreme Court ruled in </w:t>
      </w:r>
      <w:r>
        <w:rPr>
          <w:rFonts w:ascii="Arial" w:cs="Arial" w:eastAsia="Arial" w:hAnsi="Arial"/>
          <w:sz w:val="16"/>
          <w:szCs w:val="16"/>
          <w:i w:val="1"/>
          <w:iCs w:val="1"/>
          <w:color w:val="auto"/>
        </w:rPr>
        <w:t>McGirt v. Oklahoma</w:t>
      </w:r>
      <w:r>
        <w:rPr>
          <w:rFonts w:ascii="Arial" w:cs="Arial" w:eastAsia="Arial" w:hAnsi="Arial"/>
          <w:sz w:val="16"/>
          <w:szCs w:val="16"/>
          <w:color w:val="auto"/>
        </w:rPr>
        <w:t xml:space="preserve"> that the Muscogee (Creek) Nation reservation in Eastern Oklahoma has not been disestablished (i.e., officially unrecognized). Prior to the court’s ruling, the prevailing view was that all reservations within Oklahoma had been disestablished prior to statehood in 1907. Although the court’s ruling indicates that it is limited to criminal law as applied within the Muscogee (Creek) Nation reservation, the ruling has significant potential implications for civil law within the Muscogee (Creek) Nation reservation, as well as other reservations that may similarly be found to not have been disestablished. Later in 2020, state courts in Oklahoma, applying the analysis in </w:t>
      </w:r>
      <w:r>
        <w:rPr>
          <w:rFonts w:ascii="Arial" w:cs="Arial" w:eastAsia="Arial" w:hAnsi="Arial"/>
          <w:sz w:val="16"/>
          <w:szCs w:val="16"/>
          <w:i w:val="1"/>
          <w:iCs w:val="1"/>
          <w:color w:val="auto"/>
        </w:rPr>
        <w:t>McGirt</w:t>
      </w:r>
      <w:r>
        <w:rPr>
          <w:rFonts w:ascii="Arial" w:cs="Arial" w:eastAsia="Arial" w:hAnsi="Arial"/>
          <w:sz w:val="16"/>
          <w:szCs w:val="16"/>
          <w:color w:val="auto"/>
        </w:rPr>
        <w:t>, ruled that the Cherokee, Chickasaw, Seminole, and Choctaw reservations likewise had not been disestablished.</w:t>
      </w:r>
    </w:p>
    <w:p>
      <w:pPr>
        <w:spacing w:after="0" w:line="19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regarding the Muscogee (Creek) Nation reservation. However, several Tribes have expressed dissatisfaction with the consultation process performed in relation to this approval, and it is possible that EPA’s approval under the SAFETE Act could be challenged.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replacement, the United States-Mexico-Canada Agreement (“USMCA”) (July 1, 2020)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$1.25 million per violation per day, subject to the FTC’s annual inflation adjustment.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$1.23 million, subject to the CFTC’s annual inflation adjustment, or triple the monetary gain to the person for each violation.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5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9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20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are subject to these annual reporting requirements.</w:t>
      </w:r>
    </w:p>
    <w:p>
      <w:pPr>
        <w:spacing w:after="0" w:line="20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$1.31 million per day for each violation, subject to FERC’s annual inflation adjustment. FERC also has the authority to order disgorgement of profits from transactions deemed to violate the NGA and the EPAct 2005.</w:t>
      </w:r>
    </w:p>
    <w:p>
      <w:pPr>
        <w:spacing w:after="0" w:line="21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January 2020, PHMSA finalized a rule regarding the safety of underground natural gas storage facilities, which was published in the Federal Register on February 12, 2020. This rule maintains several elements from the earlier interim rule, incorporating API Recommended Practices 1170 and 1171 in PHMSA regulations; revises the definition of underground natural gas storage facility; and clarifies certain reporting and notification criteria. We do not anticipate that compliance with the final rule will have a significant adverse effect on our operations.</w:t>
      </w:r>
    </w:p>
    <w:p>
      <w:pPr>
        <w:spacing w:after="0" w:line="198"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real property holdings generally consist of: (i) parcels of land that we own in fee, (ii) surface leases and underground storage leases and</w:t>
      </w:r>
    </w:p>
    <w:p>
      <w:pPr>
        <w:spacing w:after="0" w:line="35" w:lineRule="exact"/>
        <w:rPr>
          <w:sz w:val="20"/>
          <w:szCs w:val="20"/>
          <w:color w:val="auto"/>
        </w:rPr>
      </w:pPr>
    </w:p>
    <w:p>
      <w:pPr>
        <w:ind w:right="60" w:firstLine="8"/>
        <w:spacing w:after="0" w:line="292" w:lineRule="auto"/>
        <w:tabs>
          <w:tab w:leader="none" w:pos="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Our primary human capital management objective is to attract, retain and develop a high quality workforce that will enable us to maintain and enhance a culture that is consistent with our core values of safety and environmental stewardship; ethics and integrity; accountability; and respect and fairness. To support this objective, we seek to attract, reward and support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pacing w:after="0" w:line="20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Neither we nor our general partner have officers or employees. All of our officers and other personnel necessary for our business to function are employed by GP LLC or PMCULC. As of December 31, 2020, GP LLC and PMCULC employed approximately 4,400 people in North America, of which approximately 3,200 were employed in the U.S. and approximately 1,200 were employed in Canada. Approximately 68% of our workforce (approximately 3,000 employees) are field employees, which includes approximately 880 employees in our trucking division. Our employees are located in 29 states in the U.S. and in 4 provinces in Canada. Approximately 136 employees are covered by five separate collective bargaining agreements, which run through 2023 and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“Good Catch-Close Call” communications, periodic and situation specific safety stand-downs, lessons learned sharing and stop work authorization for all employees. We also have a number of programs that are focused on employee wellness, including an employee assistance program that has provided free mental and behavioral support for employees during the COVID-19 pandemic. In addition, in order to incentivize performance in the areas of safety and environmental responsibility, our performance-based annual bonus program includes a safety component that is based on year-over-year reductions in our recordable injury rate, and an environmental responsibility component that is tied to year-over-year reductions in the number of federally reportable releases we experience. Since 2017, for each of these metrics, we have improved our performance each year and achieved cumulative three year reductions of more than 50%.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are committed to providing a professional work environment where all employees are treated with respect and dignity and provided with equal opportunities. To that end, we strive to develop a culture of inclusion and diversity in our workforce and aspire to employ a workforce that reflects the diversity of the communities where we operate. As of December 31, 2020, approximately 21% of our overall workforce was female (44% exclusive of field employees), and minorities represented approximately 31% of our U.S. workforce (36% exclusive of field employees).</w:t>
      </w:r>
    </w:p>
    <w:p>
      <w:pPr>
        <w:spacing w:after="0" w:line="198"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To support diversity and inclusion efforts at Plains and across the broader industry, we created and sponsor an employee resource group called Cultivating Connections. This group is dedicated to encouraging diversity, inclusion and advancement of women in the industry through networking, mentoring, sharing experiences and ideas, training, and furthering the development of leadership skills. Through Cultivating Connections, an employee mentorship program was also established to encourage professional growth through the development of core competencies.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Leadership Development</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committed to the continued development of our people. We provide a multitude of training programs covering topics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5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Our compensation and benefits programs are designed to attract, retain and motivate our employees and to reward them for their services and success. In addition to providing competitive salaries and other compensation opportunities, we offer comprehensive and competitive benefits to our eligible employees including, depending on location, life and health (medical, dental and vision) insurance, prescription drug benefits, flexible spending accounts, parental leave, disability coverage, mental and behavioral health resources, paid time off, retirement savings plan, education reimbursement program and a disaster relief 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The following is a summary of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5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7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jc w:val="both"/>
        <w:ind w:left="980" w:right="200" w:hanging="324"/>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i w:val="1"/>
          <w:iCs w:val="1"/>
          <w:color w:val="auto"/>
        </w:rPr>
        <w:t>—</w:t>
      </w:r>
      <w:r>
        <w:rPr>
          <w:rFonts w:ascii="Arial" w:cs="Arial" w:eastAsia="Arial" w:hAnsi="Arial"/>
          <w:sz w:val="17"/>
          <w:szCs w:val="17"/>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20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Both AAP and PAA have made elections permitted by Section 754 of the Code. As a result, our acquisition of AAP units in connection with our initial public offering (“IPO”) and in connection with exchanges since the IPO by the holders of our Class B shares and the AAP units not held by us (“Legacy Owners”) and their permitted transferees of their AAP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21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5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52"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9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w:t>
      </w:r>
      <w:r>
        <w:rPr>
          <w:rFonts w:ascii="Arial" w:cs="Arial" w:eastAsia="Arial" w:hAnsi="Arial"/>
          <w:sz w:val="16"/>
          <w:szCs w:val="16"/>
          <w:color w:val="auto"/>
        </w:rPr>
        <w:t>Backup Withholding and Information Reporting,”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or withholding tax on any gain realized upon the sale or other disposition of our Class A shares unless:</w:t>
      </w:r>
    </w:p>
    <w:p>
      <w:pPr>
        <w:spacing w:after="0" w:line="238" w:lineRule="exact"/>
        <w:rPr>
          <w:sz w:val="20"/>
          <w:szCs w:val="20"/>
          <w:color w:val="auto"/>
        </w:rPr>
      </w:pPr>
    </w:p>
    <w:p>
      <w:pPr>
        <w:ind w:left="980" w:right="5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97" w:lineRule="exact"/>
        <w:rPr>
          <w:rFonts w:ascii="Arial" w:cs="Arial" w:eastAsia="Arial" w:hAnsi="Arial"/>
          <w:sz w:val="18"/>
          <w:szCs w:val="18"/>
          <w:color w:val="auto"/>
        </w:rPr>
      </w:pPr>
    </w:p>
    <w:p>
      <w:pPr>
        <w:ind w:left="980" w:right="620" w:hanging="324"/>
        <w:spacing w:after="0" w:line="342"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0" w:lineRule="exact"/>
        <w:rPr>
          <w:rFonts w:ascii="Arial" w:cs="Arial" w:eastAsia="Arial" w:hAnsi="Arial"/>
          <w:sz w:val="16"/>
          <w:szCs w:val="16"/>
          <w:color w:val="auto"/>
        </w:rPr>
      </w:pPr>
    </w:p>
    <w:p>
      <w:pPr>
        <w:ind w:left="980" w:right="80" w:hanging="324"/>
        <w:spacing w:after="0" w:line="342"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5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88" w:lineRule="exact"/>
        <w:rPr>
          <w:sz w:val="20"/>
          <w:szCs w:val="20"/>
          <w:color w:val="auto"/>
        </w:rPr>
      </w:pPr>
    </w:p>
    <w:p>
      <w:pPr>
        <w:ind w:firstLine="729"/>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95" w:lineRule="exact"/>
        <w:rPr>
          <w:sz w:val="20"/>
          <w:szCs w:val="20"/>
          <w:color w:val="auto"/>
        </w:rPr>
      </w:pPr>
    </w:p>
    <w:p>
      <w:pPr>
        <w:ind w:right="40" w:firstLine="729"/>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5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w:t>
      </w:r>
    </w:p>
    <w:p>
      <w:pPr>
        <w:spacing w:after="0" w:line="2" w:lineRule="exact"/>
        <w:rPr>
          <w:sz w:val="20"/>
          <w:szCs w:val="20"/>
          <w:color w:val="auto"/>
        </w:rPr>
      </w:pPr>
    </w:p>
    <w:p>
      <w:pPr>
        <w:ind w:firstLine="8"/>
        <w:spacing w:after="0" w:line="251"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ir.pagp.com</w:t>
      </w:r>
      <w:r>
        <w:rPr>
          <w:rFonts w:ascii="Arial" w:cs="Arial" w:eastAsia="Arial" w:hAnsi="Arial"/>
          <w:sz w:val="17"/>
          <w:szCs w:val="17"/>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Our website includes a significant amount of information about us, including financial and other information that could be deemed material to investors. Investors and others are encouraged to review such information.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References to the “PAGP Entities” include PAGP GP, PAGP, GP LLC, AAP and PAA GP LLC (“PAA GP”). References to the “Plains Entities” include the PAGP Entities and PAA and its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partnership structure carries inherent risks, including but not limited to:</w:t>
      </w:r>
    </w:p>
    <w:p>
      <w:pPr>
        <w:spacing w:after="0" w:line="117" w:lineRule="exact"/>
        <w:rPr>
          <w:sz w:val="20"/>
          <w:szCs w:val="20"/>
          <w:color w:val="auto"/>
        </w:rPr>
      </w:pPr>
    </w:p>
    <w:p>
      <w:pPr>
        <w:ind w:left="660" w:right="7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flow will be entirely dependent upon the ability of PAA to make cash distributions to AAP, and the ability of AAP to make cash distributions to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distributions AAP is entitled to receive may fluctuate, which may reduce cash distributions to our Class A shareholders;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distributions on our Class A shares are not paid with respect to any fiscal quarter, our Class A shareholders will not be entitled to receive that quarter’s payments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cash that we and PAA distribute each quarter may limit our ability to grow;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Class B shareholders own a significant number of shares, which may make the removal of our general partner difficult; and</w:t>
      </w:r>
    </w:p>
    <w:p>
      <w:pPr>
        <w:spacing w:after="0" w:line="117"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PAA’s business, results of operations, financial condition, cash flows and unit price can be adversely affected by many factors including but not limited to:</w:t>
      </w:r>
    </w:p>
    <w:p>
      <w:pPr>
        <w:spacing w:after="0" w:line="275" w:lineRule="exact"/>
        <w:rPr>
          <w:sz w:val="20"/>
          <w:szCs w:val="20"/>
          <w:color w:val="auto"/>
        </w:rPr>
      </w:pPr>
    </w:p>
    <w:p>
      <w:pPr>
        <w:ind w:left="660" w:right="2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crude oil, natural gas and NGL shipped, processed, purchased, stored, fractionated and/or gathered at or through the use of PAA’s facilities, which can be negatively impacted by a variety of factors outside of its control;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pandemics, epidemics or other public health emergencies, such as the recent COVID-19 pandemic;</w:t>
      </w:r>
    </w:p>
    <w:p>
      <w:pPr>
        <w:spacing w:after="0" w:line="63"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PAA’s industry, including recontracting and other risks associated with the general capacity overbuild of midstream energy infrastructure in some of the areas where PAA operates;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supply and demand, which can be caused by a variety of factors outside of PAA’s control;</w:t>
      </w:r>
    </w:p>
    <w:p>
      <w:pPr>
        <w:spacing w:after="0" w:line="63" w:lineRule="exact"/>
        <w:rPr>
          <w:rFonts w:ascii="Arial" w:cs="Arial" w:eastAsia="Arial" w:hAnsi="Arial"/>
          <w:sz w:val="18"/>
          <w:szCs w:val="18"/>
          <w:color w:val="auto"/>
        </w:rPr>
      </w:pPr>
    </w:p>
    <w:p>
      <w:pPr>
        <w:jc w:val="both"/>
        <w:ind w:left="660" w:right="54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catastrophes, terrorist attacks (including eco-terrorist attacks), process safety failures or other events, including pipeline or facility accidents and cyber or other attacks on PAA’s electronic and computer systems, could interrupt its operations and/or result in severe personal injury, property damage and environmental damage;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cybersecurity breaches and other disruptions could compromise PAA’s information and operations, and expose it to liability;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societal and political pressures, including opposition to the development or operation of PAA’s pipelines and facilities from various groups;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overall forward market for crude oil and NGL, and certain market structures, the absence of pricing volatility and other market factors;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fully implement or realize expected returns or other anticipated benefits associated with joint venture and joint ownership arrangements, divestitures, acquisitions and other projects;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3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PAA’s investment grade credit rating or the ability to receive open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credit risk of PAA’s customers and other counterparties it transacts with in the ordinary course of business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PAA’s cost of capital or otherwise limit its access to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or non-compliance with, PAA’s risk policies;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PAA’s insurance coverage may not fully cover its losses and it may in the future encounter increased costs related to, and lack of availability of, insurance;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PAA’s current or future debt levels, or inability to borrow additional funds or capitalize on business opportunities;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recruiting and retaining PAA’s workforce;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impairment of long-term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under-utilization of certain assets due to fixed costs incurred to obtain the right to use such assets;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many of PAA’s assets have been in service for many years and require significant expenditures to maintain them. As a result, PAA’s maintenance or repair costs may increase in the future;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PAA does not own all of the land on which its pipelines and facilities are located, which could result in disruptions to its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PAA’s inability to perform all of its obligations under our contracts, which could lead to increased costs;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materials or commodities in the quantity and the quality PAA needs, and at commercially acceptable prices, whether due to supply disruptions, tariffs, quotas or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 Impacting PAA’s Business</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PAA’s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PAA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PAA’s partnership structure carries inherent risks, including but not limited to:</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cost reimbursements due to PAA’s general partner may be substantial and will reduce PAA’s cash available for distribution to its unitholders;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distributions are not guaranteed and may fluctuate with PAA’s performance and the establishment of financial reserves; and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PAA’s preferred units have rights, preferences and privileges that are not held by, and are preferential to the rights of, holders of PAA’s common units.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shares are subject to tax risks, which may adversely impact the value of or market for our shares and may reduce our cash available for distribution or debt service, including but not limited to:</w:t>
      </w:r>
    </w:p>
    <w:p>
      <w:pPr>
        <w:spacing w:after="0" w:line="62" w:lineRule="exact"/>
        <w:rPr>
          <w:sz w:val="20"/>
          <w:szCs w:val="20"/>
          <w:color w:val="auto"/>
        </w:rPr>
      </w:pPr>
    </w:p>
    <w:p>
      <w:pPr>
        <w:ind w:left="660" w:right="20" w:hanging="328"/>
        <w:spacing w:after="0" w:line="25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tax treatment of PAA depends on its status as a partnership for U.S. federal income tax purposes, and it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79"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20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62"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distributions contained in PAA’s credit facilities and any future debt agreements entered into by AAP, PAA or us; and</w:t>
      </w:r>
    </w:p>
    <w:p>
      <w:pPr>
        <w:spacing w:after="0" w:line="128" w:lineRule="exact"/>
        <w:rPr>
          <w:rFonts w:ascii="Arial" w:cs="Arial" w:eastAsia="Arial" w:hAnsi="Arial"/>
          <w:sz w:val="17"/>
          <w:szCs w:val="17"/>
          <w:color w:val="auto"/>
        </w:rPr>
      </w:pPr>
    </w:p>
    <w:p>
      <w:pPr>
        <w:ind w:left="980" w:right="60" w:hanging="324"/>
        <w:spacing w:after="0" w:line="342" w:lineRule="auto"/>
        <w:tabs>
          <w:tab w:leader="none" w:pos="9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distributions AAP is entitled to receive may fluctuate, which may reduce cash distributions to our Class A shareholders.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At December 31, 2020, we directly and indirectly owned an approximate 79% limited partner interest in AAP, which owned approximately 245.8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2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initially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2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Class B shareholders own a significant number of shares, which may make the removal of our general partner difficult.</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they may be unable to remove our general partner. Our general partner may only be removed by vote of the holders of at least 66 </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our outstanding shares (including both Class A and Class B shares). At December 31, 2020, the Legacy Owners owned approximately 21% of our outstanding Class A and Class B shares. This ownership level may make it difficult for our Class A shareholders to remove our general partner without the support of the Legacy Owners.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97"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2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8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we would lose the ability to manage and control PAA.</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will receive cash in exchange for its general partner interest. If PAA GP withdraws in circumstances other than those described in the preceding sentence and a successor general partner is elected in accordance with PAA’s partnership agreement, the successor general partner will purchase the general partner interest for its fair market value. If PAA GP’s interests are not purchased in accordance with the foregoing theory, they would be converted into common units based on an independent valuation. In each case, PAA GP would also lose its ability to manage PAA.</w:t>
      </w:r>
    </w:p>
    <w:p>
      <w:pPr>
        <w:spacing w:after="0" w:line="20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7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6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9"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117"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distributable cash flow per Class A share, net income and revenues;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significant portion of the combined voting power of our Class A and Class B shares.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At December 31, 2020, through their ownership of Class B shares, the Legacy Owners held approximately 21% of the combined voting power of our Class A and Class B shares. The Legacy Owners are entitled to act separately in their own respective interests with respect to their partnership interests in us, and collectively they currently have the ability to influence (i) the outcome of all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December 31, 2020, we had a gross deferred tax asset of approximately $1.5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2020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5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9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21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62" w:lineRule="exact"/>
        <w:rPr>
          <w:sz w:val="20"/>
          <w:szCs w:val="20"/>
          <w:color w:val="auto"/>
        </w:rPr>
      </w:pPr>
    </w:p>
    <w:p>
      <w:pPr>
        <w:ind w:left="980" w:hanging="324"/>
        <w:spacing w:after="0" w:line="296"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3" w:lineRule="exact"/>
        <w:rPr>
          <w:rFonts w:ascii="Arial" w:cs="Arial" w:eastAsia="Arial" w:hAnsi="Arial"/>
          <w:sz w:val="16"/>
          <w:szCs w:val="16"/>
          <w:color w:val="auto"/>
        </w:rPr>
      </w:pPr>
    </w:p>
    <w:p>
      <w:pPr>
        <w:ind w:left="980" w:right="14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5" w:lineRule="exact"/>
        <w:rPr>
          <w:rFonts w:ascii="Arial" w:cs="Arial" w:eastAsia="Arial" w:hAnsi="Arial"/>
          <w:sz w:val="18"/>
          <w:szCs w:val="18"/>
          <w:color w:val="auto"/>
        </w:rPr>
      </w:pPr>
    </w:p>
    <w:p>
      <w:pPr>
        <w:ind w:left="980" w:right="60" w:hanging="324"/>
        <w:spacing w:after="0" w:line="286"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57" w:lineRule="exact"/>
        <w:rPr>
          <w:rFonts w:ascii="Arial" w:cs="Arial" w:eastAsia="Arial" w:hAnsi="Arial"/>
          <w:sz w:val="17"/>
          <w:szCs w:val="17"/>
          <w:color w:val="auto"/>
        </w:rPr>
      </w:pPr>
    </w:p>
    <w:p>
      <w:pPr>
        <w:ind w:left="1620" w:right="260" w:hanging="316"/>
        <w:spacing w:after="0" w:line="308" w:lineRule="auto"/>
        <w:tabs>
          <w:tab w:leader="none" w:pos="1616" w:val="left"/>
        </w:tabs>
        <w:numPr>
          <w:ilvl w:val="1"/>
          <w:numId w:val="35"/>
        </w:numPr>
        <w:rPr>
          <w:rFonts w:ascii="Arial" w:cs="Arial" w:eastAsia="Arial" w:hAnsi="Arial"/>
          <w:sz w:val="17"/>
          <w:szCs w:val="17"/>
          <w:color w:val="auto"/>
        </w:rPr>
      </w:pPr>
      <w:r>
        <w:rPr>
          <w:rFonts w:ascii="Arial" w:cs="Arial" w:eastAsia="Arial" w:hAnsi="Arial"/>
          <w:sz w:val="17"/>
          <w:szCs w:val="17"/>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38" w:lineRule="exact"/>
        <w:rPr>
          <w:rFonts w:ascii="Arial" w:cs="Arial" w:eastAsia="Arial" w:hAnsi="Arial"/>
          <w:sz w:val="17"/>
          <w:szCs w:val="17"/>
          <w:color w:val="auto"/>
        </w:rPr>
      </w:pPr>
    </w:p>
    <w:p>
      <w:pPr>
        <w:ind w:left="1620" w:right="240" w:hanging="316"/>
        <w:spacing w:after="0" w:line="308" w:lineRule="auto"/>
        <w:tabs>
          <w:tab w:leader="none" w:pos="1616" w:val="left"/>
        </w:tabs>
        <w:numPr>
          <w:ilvl w:val="1"/>
          <w:numId w:val="35"/>
        </w:numPr>
        <w:rPr>
          <w:rFonts w:ascii="Arial" w:cs="Arial" w:eastAsia="Arial" w:hAnsi="Arial"/>
          <w:sz w:val="17"/>
          <w:szCs w:val="17"/>
          <w:color w:val="auto"/>
        </w:rPr>
      </w:pPr>
      <w:r>
        <w:rPr>
          <w:rFonts w:ascii="Arial" w:cs="Arial" w:eastAsia="Arial" w:hAnsi="Arial"/>
          <w:sz w:val="17"/>
          <w:szCs w:val="17"/>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38" w:lineRule="exact"/>
        <w:rPr>
          <w:rFonts w:ascii="Arial" w:cs="Arial" w:eastAsia="Arial" w:hAnsi="Arial"/>
          <w:sz w:val="17"/>
          <w:szCs w:val="17"/>
          <w:color w:val="auto"/>
        </w:rPr>
      </w:pPr>
    </w:p>
    <w:p>
      <w:pPr>
        <w:ind w:left="1620" w:right="40" w:hanging="316"/>
        <w:spacing w:after="0" w:line="277" w:lineRule="auto"/>
        <w:tabs>
          <w:tab w:leader="none" w:pos="16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62" w:lineRule="exact"/>
        <w:rPr>
          <w:rFonts w:ascii="Arial" w:cs="Arial" w:eastAsia="Arial" w:hAnsi="Arial"/>
          <w:sz w:val="18"/>
          <w:szCs w:val="18"/>
          <w:color w:val="auto"/>
        </w:rPr>
      </w:pPr>
    </w:p>
    <w:p>
      <w:pPr>
        <w:ind w:left="1620" w:right="20" w:hanging="316"/>
        <w:spacing w:after="0" w:line="263" w:lineRule="auto"/>
        <w:tabs>
          <w:tab w:leader="none" w:pos="16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5" w:lineRule="exact"/>
        <w:rPr>
          <w:rFonts w:ascii="Arial" w:cs="Arial" w:eastAsia="Arial" w:hAnsi="Arial"/>
          <w:sz w:val="18"/>
          <w:szCs w:val="18"/>
          <w:color w:val="auto"/>
        </w:rPr>
      </w:pPr>
    </w:p>
    <w:p>
      <w:pPr>
        <w:ind w:left="980" w:right="20" w:hanging="324"/>
        <w:spacing w:after="0" w:line="293"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56" w:lineRule="exact"/>
        <w:rPr>
          <w:rFonts w:ascii="Arial" w:cs="Arial" w:eastAsia="Arial" w:hAnsi="Arial"/>
          <w:sz w:val="16"/>
          <w:szCs w:val="16"/>
          <w:color w:val="auto"/>
        </w:rPr>
      </w:pPr>
    </w:p>
    <w:p>
      <w:pPr>
        <w:jc w:val="both"/>
        <w:ind w:left="980" w:right="80" w:hanging="324"/>
        <w:spacing w:after="0" w:line="259"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52"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At December 31, 2020, the Legacy Owners owned approximately 21% of our outstanding Class A and Class B shares and approximately 21%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7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2020, the Legacy Owners owned approximately 21% of the Class A shares and Class B shares on a combined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7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Drilling activity, crude oil production and benchmark crude oil prices can fluctuate significantly over time. For example, the current COVID-19 pandemic has resulted in a swift and material decline in global crude oil demand and crude oil prices, which has led to a significant reduction of domestic crude oil, NGL and natural gas production, and it is unclear if or when global demand will recover to pre-pandemic levels. This has had an adverse effect on the demand for the midstream services PAA offers and the commercial opportunities that are available to it. If demand remains depressed or declines further it is likely to have an adverse impact on PAA’s financial performance. A turnaround of these adverse macroeconomic factors depends largely on an increase in global demand for crude oil, which will be driven primarily by the extent to which consumer demand and demand for crude oil rebound following the pandemic.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for producers or adverse governmental or regulatory action, it could adversely impact production. In turn, such developments could lead to reduced throughput on PAA’s pipelines and at its other facilities, which, depending on the level of production declines, could have a material adverse effect on PAA’s business.</w:t>
      </w:r>
    </w:p>
    <w:p>
      <w:pPr>
        <w:spacing w:after="0" w:line="21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Also, except with respect to some of PAA’s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21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76"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b w:val="1"/>
          <w:bCs w:val="1"/>
          <w:i w:val="1"/>
          <w:iCs w:val="1"/>
          <w:color w:val="auto"/>
        </w:rPr>
        <w:t>PAA’s business, results of operations, financial condition, cash flows and unit price can be adversely affected by pandemics, epidemics or other public health emergencies, such as the current COVID-19 pandemic.</w:t>
      </w:r>
    </w:p>
    <w:p>
      <w:pPr>
        <w:spacing w:after="0" w:line="198" w:lineRule="exact"/>
        <w:rPr>
          <w:sz w:val="20"/>
          <w:szCs w:val="20"/>
          <w:color w:val="auto"/>
        </w:rPr>
      </w:pPr>
    </w:p>
    <w:p>
      <w:pPr>
        <w:jc w:val="both"/>
        <w:ind w:right="140" w:firstLine="648"/>
        <w:spacing w:after="0" w:line="299" w:lineRule="auto"/>
        <w:rPr>
          <w:sz w:val="20"/>
          <w:szCs w:val="20"/>
          <w:color w:val="auto"/>
        </w:rPr>
      </w:pPr>
      <w:r>
        <w:rPr>
          <w:rFonts w:ascii="Arial" w:cs="Arial" w:eastAsia="Arial" w:hAnsi="Arial"/>
          <w:sz w:val="16"/>
          <w:szCs w:val="16"/>
          <w:color w:val="auto"/>
        </w:rPr>
        <w:t>PAA’s business, results of operations, financial condition, cash flows and unit price can be adversely affected by pandemics, epidemics or other public health emergencies. The current COVID-19 pandemic has caused widespread economic disruption, and resulted in material reductions in demand for crude oil, NGL and other petroleum products, which in turn has resulted in significant declines in the actual or expected volume of crude oil and NGL</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shipped, processed, purchased, stored, fractionated and/or gathered at or through the use of many of PAA’s assets. Future pandemics, epidemics or other public health emergencies may have greater economic impacts.</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result of the COVID-19 pandemic, many of PAA’s support functions are operating remotely, which presents technical and communication challenges, including increased vulnerability to cybersecurity breaches, risk management oversights or delays in, or disruptions to, communications. In addition, pandemic-related restrictions may adversely impact PAA’s ability to operate and maintain its assets, and may adversely impact the supply chain to source goods and services required for its operating activities.</w:t>
      </w:r>
    </w:p>
    <w:p>
      <w:pPr>
        <w:spacing w:after="0" w:line="21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long term impacts of the COVID-19 pandemic remain highly uncertain and depend on a wide variety of factors that are outside of PAA’s control, including the development, deployment and effectiveness of vaccines, treatments and testing protocols; mutations of the virus resulting in increased transmissibility or severity of the disease or decreasing the effectiveness of vaccines or treatments; the capacity of our healthcare systems and public health infrastructure to manage current and future outbreaks; and various political and economic considerations. It is unknown whether consumption of petroleum products will return to pre-COVID levels due to changes in consumer habits or preferences. As a result, PAA is unable to predict the timing of any such market recovery, including a return to market conditions that are more conducive to an increase in drilling and production activities in the United States and Canada.</w:t>
      </w:r>
    </w:p>
    <w:p>
      <w:pPr>
        <w:spacing w:after="0" w:line="22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PAA’s profitability can be negatively affected by a variety of factors stemming from competition in its industry, including risks associated with the general capacity overbuild of midstream energy infrastructure in some of the areas where it operates.</w:t>
      </w:r>
    </w:p>
    <w:p>
      <w:pPr>
        <w:spacing w:after="0" w:line="17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attempt to survive and compete by reducing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50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ind w:firstLine="8"/>
        <w:spacing w:after="0" w:line="267" w:lineRule="auto"/>
        <w:tabs>
          <w:tab w:leader="none" w:pos="2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these areas have become, or in the future may become, overbuilt, resulting in an excess of midstream energy infrastructure capacity. For example, several new pipeline projects have been placed in service or are currently under construction, and such projects have resulted in, and may contribute to future, excess takeaway capacity in certain areas where PAA operates. In addition, as an established participant in some markets, PAA also faces competition from aggressive new entrants to the market who are willing to provide services at a lower rate of return in order to establish relationships and gain a foothold in the market. In addition, PAA’s Supply and Logistics segment is a customer of its Transportation and Facilities segments (See Note 21 to our Consolidated Financial Statements for a discussion of operating segments). Competition that impacts PAA’s Supply and Logistics activities could result in a reduction in the use of its Transportation and Facilities assets by its Supply and Logistics segment.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214" w:lineRule="exact"/>
        <w:rPr>
          <w:sz w:val="20"/>
          <w:szCs w:val="20"/>
          <w:color w:val="auto"/>
        </w:rPr>
      </w:pPr>
    </w:p>
    <w:p>
      <w:pPr>
        <w:ind w:right="40" w:firstLine="607"/>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supply and demand, which can be caused by a variety of factors outside of PAA’s control, can negatively affect its operating results.</w:t>
      </w:r>
    </w:p>
    <w:p>
      <w:pPr>
        <w:spacing w:after="0" w:line="2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Supply and demand for crude oil and other hydrocarbon products PAA handles is dependent upon a variety of factors, including price, current and future economic conditions, fuel conservation measures, alternative fuel adoption, governmental regulation, including climate change regulations, and technological advances in fuel economy and energy generation devices. For example, legislative, regulatory or executive actions intended to reduce emissions of greenhouse gases could increase the cost of consuming crude oil and other hydrocarbon products, thereby causing a reduction in the demand for such products. Given that crude oil and petroleum products are global commodities, demand can also be significantly influenced by developments in other countries and markets, particularly in key consumption markets like China. Ultimately, this can lead to a reduction in demand for the services PAA provides. Demand also depends on the ability and willingness of shippers having access to PAA’s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21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21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211"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Natural disasters, catastrophes, terrorist attacks (including eco-terrorist attacks), process safety failures or other events, including pipeline or facility accidents and cyber or other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5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20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supply and logistics operations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profitability, cash flows and its cash available for paying distributions to its partners and, accordingly, adversely affect its financial condition and the market price of its securities.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PAA’s information and operations, and expose it to liability, which would cause its business and reputation to suffer.</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PAA is reliant on the continuous and uninterrupted operation of its information technology systems. User access of PAA’s sites and information technology systems are critical elements to its operations, as is cloud security and protection against cyber security incidents. In the ordinary course of its business, PAA collects and stores sensitive data in its data centers and on its networks, including intellectual property, proprietary business information, critical operating information and data, information regarding its customers, suppliers, royalty owners and business partners, and personally identifiable information of its employees. The secure processing, maintenance and transmission of this information is critical to PAA’s operations and business strategy. Despite PAA’s security measures, its information technology and infrastructure may be vulnerable to attacks by hackers or breached due to employee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21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PAA’s information technology infrastructure is critical to the efficient operation of its business and essential to its ability to perform day-to-day operations. Potential risks to PAA’s IT systems include unauthorized attempts to extract business sensitive, confidential or personal information, denial of access extortion, corruption of information or disruption of business processes, or by inadvertent or intentional actions by PAA’s employees or vendors. Breaches in PAA’s information technology infrastructure or physical facilities, or other disruptions, could result in damage to its assets, safety incidents, damage to the environment, remediation costs, potential liability, regulatory enforcement, violation of privacy or securities laws and regulations or the loss of contracts, any of which could have a material adverse effect on its operations, financial position and results of operations.</w:t>
      </w:r>
    </w:p>
    <w:p>
      <w:pPr>
        <w:spacing w:after="0" w:line="20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PAA may face opposition to the development or operation of its pipelines and facilities from various groups and PAA’s business may be subject to societal and political pressures.</w:t>
      </w:r>
    </w:p>
    <w:p>
      <w:pPr>
        <w:spacing w:after="0" w:line="19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PAA may face opposition to the development or operation of its pipelines and facilities from environmental groups, landowners, tribal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212"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PAA’s business plans are based upon the assumption that societal sentiment will continue to enable, and existing regulations will stay intact for,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Recently, 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as well as properly run its ongoing operations.</w:t>
      </w: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results of PAA’s Supply and Logistics segment are influenced by the overall forward market for crude oil and NGL, and certain market structures, the absence of pricing volatility and other market factors may adversely impact its results.</w:t>
      </w:r>
    </w:p>
    <w:p>
      <w:pPr>
        <w:spacing w:after="0" w:line="19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Results from PAA’s Supply and Logistics segment are dependent on a variety of factors affecting the markets for crude oil and NGL, including regional and international supply and demand imbalances, takeaway availability and constraints, transportation costs and the overall forward market for crude oil. Periods when differentials are wide or when there is volatility in the forward market structure are generally more favorable for PAA’s Supply and Logistics segment. During periods where the infrastructure is over-built and/or there is a lack of volatility in the pricing structure PAA’s results may be negatively impacted. Depending on the overall duration of these transition periods, how PAA has allocated its assets to particular strategies and the time length of its crude oil purchase and sale contracts and storage agreements, these periods may have either an adverse or beneficial effect on PAA’s aggregate segment results. In the past, the results from PAA’s Supply and Logistics segment have varied significantly based on market conditions and this segment may continue to experience highly variable results as a result of future changes to the markets for crude oil and NGL.</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PAA may not be able to fully implement or realize expected returns or other anticipated benefits associated with joint venture and joint ownership arrangements, divestitures, acquisitions and other projects.</w:t>
      </w:r>
    </w:p>
    <w:p>
      <w:pPr>
        <w:spacing w:after="0" w:line="19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PAA is undertaking, or is participating with various counterparties in, a number of projects that involve the construction of new midstream energy infrastructure assets or the expansion, modification, divestiture or combination of existing assets. Many of these projects involve numerous regulatory, environmental, commercial, economic, weather-related, political and legal uncertainties that are beyond its control, including the following:</w:t>
      </w:r>
    </w:p>
    <w:p>
      <w:pPr>
        <w:spacing w:after="0" w:line="41" w:lineRule="exact"/>
        <w:rPr>
          <w:sz w:val="20"/>
          <w:szCs w:val="20"/>
          <w:color w:val="auto"/>
        </w:rPr>
      </w:pPr>
    </w:p>
    <w:p>
      <w:pPr>
        <w:ind w:left="980" w:right="8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PAA may construct pipelines, facilities or other assets in anticipation of market demand that dissipates or market growth that never materializes;</w:t>
      </w:r>
    </w:p>
    <w:p>
      <w:pPr>
        <w:spacing w:after="0" w:line="62" w:lineRule="exact"/>
        <w:rPr>
          <w:rFonts w:ascii="Arial" w:cs="Arial" w:eastAsia="Arial" w:hAnsi="Arial"/>
          <w:sz w:val="18"/>
          <w:szCs w:val="18"/>
          <w:color w:val="auto"/>
        </w:rPr>
      </w:pPr>
    </w:p>
    <w:p>
      <w:pPr>
        <w:jc w:val="both"/>
        <w:ind w:left="980" w:right="80" w:hanging="324"/>
        <w:spacing w:after="0" w:line="311"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40" w:lineRule="exact"/>
        <w:rPr>
          <w:rFonts w:ascii="Arial" w:cs="Arial" w:eastAsia="Arial" w:hAnsi="Arial"/>
          <w:sz w:val="16"/>
          <w:szCs w:val="16"/>
          <w:color w:val="auto"/>
        </w:rPr>
      </w:pPr>
    </w:p>
    <w:p>
      <w:pPr>
        <w:ind w:left="980" w:right="56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75"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PAA may face opposition to its planned projects from environmental groups, landowners, local groups and other advocates, including lawsuits or other actions designed to disrupt or delay PAA’s planned projects;</w:t>
      </w:r>
    </w:p>
    <w:p>
      <w:pPr>
        <w:spacing w:after="0" w:line="62" w:lineRule="exact"/>
        <w:rPr>
          <w:rFonts w:ascii="Arial" w:cs="Arial" w:eastAsia="Arial" w:hAnsi="Arial"/>
          <w:sz w:val="18"/>
          <w:szCs w:val="18"/>
          <w:color w:val="auto"/>
        </w:rPr>
      </w:pPr>
    </w:p>
    <w:p>
      <w:pPr>
        <w:ind w:left="980" w:right="28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75" w:lineRule="exact"/>
        <w:rPr>
          <w:rFonts w:ascii="Arial" w:cs="Arial" w:eastAsia="Arial" w:hAnsi="Arial"/>
          <w:sz w:val="18"/>
          <w:szCs w:val="18"/>
          <w:color w:val="auto"/>
        </w:rPr>
      </w:pPr>
    </w:p>
    <w:p>
      <w:pPr>
        <w:ind w:left="980" w:hanging="324"/>
        <w:spacing w:after="0" w:line="259"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completion or success of PAA’s projects may depend on the completion or success of third-party facilities over which PAA has no control.</w:t>
      </w:r>
    </w:p>
    <w:p>
      <w:pPr>
        <w:spacing w:after="0" w:line="1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planned projects may not be achieved or could be delayed. In turn, this could negatively impact PAA’s cash flow and its ability to make or increase cash distributions to its partners.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PAA’s business is dependent on its ability to maintain an attractive credit rating and continue to receive open credit from its suppliers and trade counterparties. PAA’s senior unsecured debt is currently rated as “investment grade” by Standard &amp; Poor’s and Fitch Ratings Inc. In August 2017, Moody’s Investors Service downgraded its rating of PAA’s senior unsecured debt to a level below investment grade. A further downgrade by any of such agencies to a level below PAA’s current ratings levels assigned by such rating agencies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Loss of PAA’s remaining investment grade credit ratings could also adversely impact its cash flows, its ability to make distributions at its current levels and the value of its outstanding equity and debt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 is exposed to the credit risk of its customers and other counterparties it transacts with in the ordinary course of its business activities.</w:t>
      </w:r>
    </w:p>
    <w:p>
      <w:pPr>
        <w:spacing w:after="0" w:line="2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PAA’s business, and the economic fallout of the COVID-19 pandemic has had an adverse impact on the creditworthiness of many companies in the energy sector.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PAA has a number of minimum volume commitment contracts that support pipelines in its Transportation segment.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21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21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21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231F20"/>
        </w:rPr>
        <w:t>PAA also relies to a significant degree on the banks that lend to it under its revolving credit facility for financial liquidity, and any failure of those banks to perform on their obligations to PAA could significantly impair its liquidity. Furthermore, nonpayment by the counterparties to PAA’s interest rate, commodity and/or foreign currency derivatives could expose it to additional interest rate, commodity price and/or foreign currency risk.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Divestitures, joint ventures, joint ownership arrangements and acquisitions involve risks that may adversely affect PAA’s business.</w:t>
      </w:r>
    </w:p>
    <w:p>
      <w:pPr>
        <w:spacing w:after="0" w:line="26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PAA’s ability to execute its financial strategy is in part dependent on its ability to complete strategic divestitures or sales of interests to strategic partners. If PAA is unable to successfully complete planned divestitures (due to reduced investment in the energy sector, governmental action, litigation, counterparty non-performance or other factors), it may be more difficult for PAA to achieve its desired leverage levels, increase returns to equity holders or otherwise accomplish its financial goals. In addition, in connection with its divestitures, PAA may agree to retain responsibility for certain liabilities that relate to PAA’s period of ownership, which could adversely impact its future financial performance.</w:t>
      </w:r>
    </w:p>
    <w:p>
      <w:pPr>
        <w:spacing w:after="0" w:line="2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PAA is also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Although PAA’s near-term strategy does not include a focus on acquisitions, it has completed a number of acquisitions in the past and may pursue future acquisitions on a selective basis. Any acquisition involves potential risks, including:</w:t>
      </w:r>
    </w:p>
    <w:p>
      <w:pPr>
        <w:spacing w:after="0" w:line="6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180" w:hanging="324"/>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limitations on PAA’s access to capital or increase in the cost of that capital could significantly impair the implementation of its strategy. PAA’s ability to maintain its targeted credit profile, including maintaining its credit ratings, could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1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PAA’s risk policies cannot eliminate all risks. In addition, the insufficiency of, or non-compliance with its risk policies could result in significant financial losses.</w:t>
      </w:r>
    </w:p>
    <w:p>
      <w:pPr>
        <w:spacing w:after="0" w:line="19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PAA may also face disruptions to futures markets for crude oil, NGL and other petroleum products, which may impair its ability to execute its commercial or hedging strategies related to the COVID-19 pandemic, future pandemics, epidemics, other public health emergencies or other factors. Margin requirements due to spikes or crashes in commodity prices may require us to exit hedge strategies at inopportune times.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21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PAA’s insurance coverage may not fully cover its losses and it may in the future encounter increased costs related to, and lack of availability of, insurance.</w:t>
      </w:r>
    </w:p>
    <w:p>
      <w:pPr>
        <w:spacing w:after="0" w:line="19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6"/>
          <w:szCs w:val="16"/>
          <w:color w:val="auto"/>
        </w:rPr>
        <w:t>While PAA maintains insurance coverage at levels that it believes to be reasonable and prudent, PAA can provide no assurance that its current levels of insurance will be sufficient to cover any losses that it has incurred or may incur in the future, whether due to deductibles, coverage challenges or</w:t>
      </w:r>
    </w:p>
    <w:p>
      <w:pPr>
        <w:spacing w:after="0"/>
        <w:rPr>
          <w:sz w:val="20"/>
          <w:szCs w:val="20"/>
          <w:color w:val="auto"/>
        </w:rPr>
      </w:pPr>
      <w:r>
        <w:rPr>
          <w:rFonts w:ascii="Arial" w:cs="Arial" w:eastAsia="Arial" w:hAnsi="Arial"/>
          <w:sz w:val="18"/>
          <w:szCs w:val="18"/>
          <w:color w:val="auto"/>
        </w:rPr>
        <w:t>other limitations. 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over the last several years,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215"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127"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As of December 31, 2020, the face value of PAA’s consolidated debt outstanding was approximately $10.3 billion, consisting of approximately $9.5 billion face value of long-term debt (including senior notes, term loan borrowings and finance lease obligations) and approximately $0.8 billion of short-term borrowings. As of December 31, 2020, PAA had approximately $2.2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62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86"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62"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December 31, 2020, the face value of PAA’s consolidated debt was approximately $10.3 billion, of which approximately $9.4 billion was at fixed interest rates and approximately $0.9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PAA’s business requires the retention and recruitment of a skilled workforce, and difficulties recruiting and retaining its workforce could result in a failure to implement PAA’s business plans.</w:t>
      </w:r>
    </w:p>
    <w:p>
      <w:pPr>
        <w:spacing w:after="0" w:line="19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PAA’s operations and management require the retention and recruitment of a skilled workforce, including engineers, technical personnel and other professionals. PAA and its affiliates compete with other companies in the energy industry for this skilled workforce. The COVID-19 pandemic and associated restrictions may also place additional demands on our employees, which may in turn make it more challenging to retain or recruit talented labor. If PAA is unable to (i) retain current employees; and/or (ii) recruit new employees of comparable knowledge and experience, PAA’s business could be negatively impacted. In addition, PAA could experience increased costs to retain and recruit these professionals.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PAA’s earnings.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At December 31, 2020, PAA had approximately $14.6 billion of net property and equipment, $982 million of linefill and base gas, $3.8 billion of investments accounted for under the equity method of accounting and $805 million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and base gas,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During the year ended December 31, 2020, PAA recognized goodwill impairment losses of $2.5 billion and non-cash impairment charges of approximately $914 million related to the write-down of certain pipeline and other long-lived assets, certain of PAA’s investments in unconsolidated entities, and assets upon classification as held for sale. See Note 6, Note 7, Note 8 and Note 9 to our Consolidated Financial Statements for additional information regarding these impairments.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the use or availability of third-party assets for certain of its operations.</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Significant under-utilization of certain assets could significantly reduce PAA’s profitability due to fixed costs incurred to obtain the right to use such assets.</w:t>
      </w:r>
    </w:p>
    <w:p>
      <w:pPr>
        <w:spacing w:after="0" w:line="197"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assets. Significant under-utilization of assets PAA leases or otherwise secures the right to use in connection with its business could have a significant negative impact on PAA’s profitability and cash flows.</w:t>
      </w:r>
    </w:p>
    <w:p>
      <w:pPr>
        <w:spacing w:after="0" w:line="21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PAA’s pipelines, terminals, storage and processing and fractionation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its unitholders.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 does not own all of the land on which its pipelines and facilities are located, which could result in disruptions to its operations.</w:t>
      </w:r>
    </w:p>
    <w:p>
      <w:pPr>
        <w:spacing w:after="0" w:line="2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In September 2018, the Fourth Circuit Court of Appeals reversed a decision of the United States Forest Service (“USFS”) issuing a permit for the construction of a pipeline and granting a right of way across the Appalachian Trail, ruling that the USFS lacked statutory authority. This decision may make it more difficult to obtain permits and rights of way on certain federal lands and may be used as precedent to challenge existing and future permits and rights of way.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or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its financial results.</w:t>
      </w:r>
    </w:p>
    <w:p>
      <w:pPr>
        <w:spacing w:after="0" w:line="19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PAA’s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80" w:lineRule="exact"/>
        <w:rPr>
          <w:sz w:val="20"/>
          <w:szCs w:val="20"/>
          <w:color w:val="auto"/>
        </w:rPr>
      </w:pPr>
    </w:p>
    <w:p>
      <w:pPr>
        <w:ind w:left="980" w:right="46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it expects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right="60" w:hanging="324"/>
        <w:spacing w:after="0" w:line="270"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 (ii)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72" w:lineRule="exact"/>
        <w:rPr>
          <w:rFonts w:ascii="Arial" w:cs="Arial" w:eastAsia="Arial" w:hAnsi="Arial"/>
          <w:sz w:val="17"/>
          <w:szCs w:val="17"/>
          <w:color w:val="auto"/>
        </w:rPr>
      </w:pPr>
    </w:p>
    <w:p>
      <w:pPr>
        <w:ind w:left="980" w:right="32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Although PAA manages and monitors all of these various factors in connection with the ongoing operation of its natural gas storage facilities with the goal of performing all of its contractual commitments and obligations and optimizing its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PAA fails to obtain materials or commodities in the quantity and the quality it needs, and at commercially acceptable prices, whether due to supply disruptions, tariffs, quotas or other factors, PAA’s results of operations, financial condition and cash flows could be materially and adversely affected.</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PAA’s business also depends on having access to significant amounts of electricity and other commodities. If PAA is unable to obtain commodities sufficient to operate and maintain its assets, it could materially and adversely affect its business.</w:t>
      </w:r>
    </w:p>
    <w:p>
      <w:pPr>
        <w:spacing w:after="0" w:line="19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COVID-19 pandemic has caused widespread supply chain disruptions, which may make it more challenging to obtain sufficient quantities of high quality materials at acceptable prices and in a timely manner. If PAA is unable to source such materials, it could materially and adversely affect its ability to construct new infrastructure and maintain its existing assets.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 Impacting PAA’s Business</w:t>
      </w:r>
    </w:p>
    <w:p>
      <w:pPr>
        <w:spacing w:after="0" w:line="256"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PAA’s operations are subject to laws and regulations relating to protection of the environment and wildlife,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15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Also, new or additional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In addition, criminal violations of certain environmental laws, or in some cases even the allegation of criminal violations, may result in the temporary suspension or outright debarment from participating in government contracts.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additional laws or regulations. For example, President Biden campaigned on several initiatives to address environmental concerns. Following the election of President Biden and a Democratic majority in both houses of Congress, it is possible that PAA’s operations, and those of its customers, may be subject to greater environmental regulations, particularly with regard to hydraulic fracturing, permitting, and GHG emissions. Any new laws, executive orders or regulations, or changes to or interpretations of existing laws or regulations, adverse to PAA could have a material adverse effect on its operations, revenues, expenses and profitability.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PAA has a history of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acquires additional assets it is at risk for an increase in the number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PAA currently devotes substantial resources to comply with DOT-mandated pipeline integrity rules. The DOT regulations include requirements for the establishment of pipeline integrity management programs and for protection of “high consequence areas” where a pipeline leak or rupture could produce significant adverse consequences. Pipeline safety regulations are revised frequently. For example, Congress, through the 2021 Fiscal Year Omnibus Appropriations Bill, directed PHMSA to move forward with several regulatory actions.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20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19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9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PAA’s U.S. interstate common carrier liquids pipelines are subject to regulation by the FERC under the ICA. The ICA requires that tariff rates and terms and conditions of service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PAA’s U.S. interstate common carrier liquids pipelines subject to FERC regulation under the ICA and its interstate natural gas storage facilities subject to FERC regulation under the NGA, shippers may protest its pipeline tariff filings or file complaints against its existing rates or complaints alleging that it is engaging in discriminating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the DOT, and certain state agencies. Under certain circumstances, the FERC could limit PAA’s ability to set its natural gas storage rates at market-based rates and could order PAA to reduce its rates for natural gas storage service or require the payment of refunds to its storage customers.</w:t>
      </w:r>
    </w:p>
    <w:p>
      <w:pPr>
        <w:spacing w:after="0" w:line="20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raised by the parties to such proceedings. For example, if PAA believes that a petition filed with, or order issued by, the FERC is improper, overbroad other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19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5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PAA’s cross border activities subject it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purchases and sales of crude oil, natural gas and NGL, and hedging activities, expose it to potential regulatory risks.</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8"/>
          <w:szCs w:val="18"/>
          <w:i w:val="1"/>
          <w:iCs w:val="1"/>
          <w:color w:val="auto"/>
        </w:rPr>
        <w:t>.</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214"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In January 2020,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20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9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PAA does not perform hydraulic fracturing, but many of the producers using its pipelines do. Hydraulic fracturing has been subject to increased scrutiny and there have been a variety of legislative and regulatory proposals to prohibit, restrict, or more closely regulate various forms of hydraulic fracturing; for example, the Governor of California signed an executive order in which he announced plans to ask the state legislature to promulgate legislation banning the issuance of new hydraulic fracturing permits by 2024. In January 2021, President Biden signed an executive order directing the Secretary of the Interior to pause new oil and gas leases on public lands and in offshore waters of the United States.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reduce demand for PAA’s transportation, terminalling and storage services as well as its supply and logistics services.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Climate change laws and regulations restricting emissions of greenhouse gases could result in increased operating costs and reduced demand for crude oil and natural gas, while potential physical effects of climate change could disrupt crude oil production and cause PAA to incur significant costs in preparing for or responding to those effects.</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findings that emissions of GHGs present an endangerment to public health and the environment, the EPA has adopted regulations under existing provisions of the federal Clean Air Act to reduce GHG emissions. For example, in June 2016, the EPA finalized new regulations, known as Subpart OOOOa, that set emissions standards for methane and volatile organic compounds from new and modified oil and natural gas production and natural gas processing and transmission facilities. However, there have been attempts to modify these regulations, and litigation concerning the regulations is ongoing.</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Congress has from time to time considered legislation to reduce emissions of GHGs, no significant legislation to reduce GHG emissions has been adopted at the federal level. However, President Biden has previously stated that one of his administration’s climate change goals is to achieve a 100% clean energy economy and net-zero emissions by 2050 at the national level; however, PAA cannot predict the degree to which this plan may be successfully implemented, what initiatives may be promulgated to facilitate it, or the degree to which it may impact its operations. In the absence of federal climate legislation, a number of state and regional GHG restrictions have emerged. Analogous regulations are or may be implemented in Canada. Any future laws and regulations that limit emissions of GHGs could adversely affect supply of or demand for oil and natural gas that operators, some of whom are PAA’s customers, produce and could thereby reduce demand for PAA’s midstream services. For more information, see our regulatory disclosure entitled “Climate Change Initiatives.”</w:t>
      </w:r>
    </w:p>
    <w:p>
      <w:pPr>
        <w:spacing w:after="0" w:line="21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Moreover, activists concerned about the potential effects of climate change have directed their attention at sources of funding for hydrocarbon energy companies, which has resulted in certain sources of capital restricting or eliminating their investment in oil and natural gas activities. Additionally, activist shareholders have introduced proposals that may seek to force companies to adopt aggressive emission reduction targets or restrict more hydrocarbon-intensive activities. Separately, activists may also pursue other means of curtailing oil and gas operations, such as through litigation; several suits have been filed in recent years claiming that oil and gas companies are responsible for climate harm due to their production and/or marketing of hydrocarbons or that oil and gas companies have known about the adverse effects of climate change but failed to adequately disclose those impacts to their investors or consumers. While PAA cannot predict the outcomes of such activities, they could make it more difficult for operators to engage in exploration and production activities, ultimately reducing demand for PAA’s services. Finally, many scientists have concluded that increasing concentrations of GHGs in the Earth’s atmosphere may produce significant physical effects, such as increased frequency and severity of storms, droughts, floods and other climatic events; if any such effects were to occur, they have the potential to cause physical damage to PAA’s assets and thus could have an adverse effect on its financial condition and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PAA</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reimbursements due to PAA’s general partner may be substantial and will reduce PAA’s cash available for distribution to its unitholders.</w:t>
      </w:r>
    </w:p>
    <w:p>
      <w:pPr>
        <w:spacing w:after="0" w:line="27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25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law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PAA’s preferred units have rights, preferences and privileges that are not held by, and are preferential to the rights of, holders of PAA’s common units.</w:t>
      </w:r>
    </w:p>
    <w:p>
      <w:pPr>
        <w:spacing w:after="0" w:line="2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distributions on PAA’s preferred units accrue and are cumulative, at the rate of 8% per annum with respect to PAA’s Series A preferred units and 6.125% with respect to PAA’s Series B preferred units on the original issue price.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9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At December 31, 2020, we owned an approximate 79% limited partner interest in AAP, which directly owned a limited partner interest in PAA through its ownership of approximately 245.8 million PAA common units (approximately 31% of PAA’s Series A preferred units and common units combined).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federal income tax purposes.</w:t>
      </w:r>
    </w:p>
    <w:p>
      <w:pPr>
        <w:spacing w:after="0" w:line="19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Current law may change, causing PAA to be treated as a corporation for federal income tax purposes or otherwise subjecting PAA to additional entity-level taxation. In addition, several states have been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w:t>
      </w:r>
    </w:p>
    <w:p>
      <w:pPr>
        <w:spacing w:after="0" w:line="21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If PAA were treated as a corporation for federal income tax purposes, it would pay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197" w:lineRule="exact"/>
        <w:rPr>
          <w:sz w:val="20"/>
          <w:szCs w:val="20"/>
          <w:color w:val="auto"/>
        </w:rPr>
      </w:pPr>
    </w:p>
    <w:p>
      <w:pPr>
        <w:jc w:val="both"/>
        <w:ind w:right="260" w:firstLine="648"/>
        <w:spacing w:after="0" w:line="243" w:lineRule="auto"/>
        <w:rPr>
          <w:sz w:val="20"/>
          <w:szCs w:val="20"/>
          <w:color w:val="auto"/>
        </w:rPr>
      </w:pPr>
      <w:r>
        <w:rPr>
          <w:rFonts w:ascii="Arial" w:cs="Arial" w:eastAsia="Arial" w:hAnsi="Arial"/>
          <w:sz w:val="18"/>
          <w:szCs w:val="18"/>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w:t>
      </w:r>
    </w:p>
    <w:p>
      <w:pPr>
        <w:spacing w:after="0" w:line="215"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pacing w:after="0" w:line="20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21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b w:val="1"/>
          <w:bCs w:val="1"/>
          <w:i w:val="1"/>
          <w:iCs w:val="1"/>
          <w:color w:val="auto"/>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7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2020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6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21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21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included in Note 19 to our Consolidated Financial Statements, and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4" w:lineRule="exact"/>
        <w:rPr>
          <w:sz w:val="20"/>
          <w:szCs w:val="20"/>
          <w:color w:val="auto"/>
        </w:rPr>
      </w:pPr>
    </w:p>
    <w:p>
      <w:pPr>
        <w:jc w:val="center"/>
        <w:ind w:right="88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5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Our Class A shares are listed and traded on The Nasdaq Global Select Market under the symbol “PAGP.” As of February 11, 2021, there were 194,097,504 Class A shares outstanding and approximately 35,000 record holders and beneficial owners (held in street name).</w:t>
      </w:r>
    </w:p>
    <w:p>
      <w:pPr>
        <w:spacing w:after="0" w:line="173"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Quarter</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6"/>
                <w:szCs w:val="16"/>
                <w:color w:val="auto"/>
              </w:rPr>
            </w:pPr>
          </w:p>
        </w:tc>
        <w:tc>
          <w:tcPr>
            <w:tcW w:w="1420" w:type="dxa"/>
            <w:vAlign w:val="bottom"/>
          </w:tcPr>
          <w:p>
            <w:pPr>
              <w:jc w:val="right"/>
              <w:ind w:right="256"/>
              <w:spacing w:after="0"/>
              <w:rPr>
                <w:sz w:val="20"/>
                <w:szCs w:val="20"/>
                <w:color w:val="auto"/>
              </w:rPr>
            </w:pPr>
            <w:r>
              <w:rPr>
                <w:rFonts w:ascii="Arial" w:cs="Arial" w:eastAsia="Arial" w:hAnsi="Arial"/>
                <w:sz w:val="14"/>
                <w:szCs w:val="14"/>
                <w:b w:val="1"/>
                <w:bCs w:val="1"/>
                <w:color w:val="auto"/>
              </w:rPr>
              <w:t>Fourth Quarter</w:t>
            </w:r>
          </w:p>
        </w:tc>
      </w:tr>
      <w:tr>
        <w:trPr>
          <w:trHeight w:val="229"/>
        </w:trPr>
        <w:tc>
          <w:tcPr>
            <w:tcW w:w="4220" w:type="dxa"/>
            <w:vAlign w:val="bottom"/>
            <w:tcBorders>
              <w:top w:val="single" w:sz="8" w:color="CCEEFF"/>
            </w:tcBorders>
            <w:shd w:val="clear" w:color="auto" w:fill="CCEEFF"/>
          </w:tcPr>
          <w:p>
            <w:pPr>
              <w:jc w:val="right"/>
              <w:ind w:right="375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4"/>
        </w:trPr>
        <w:tc>
          <w:tcPr>
            <w:tcW w:w="4220" w:type="dxa"/>
            <w:vAlign w:val="bottom"/>
          </w:tcPr>
          <w:p>
            <w:pPr>
              <w:jc w:val="right"/>
              <w:ind w:right="375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r>
    </w:tbl>
    <w:p>
      <w:pPr>
        <w:spacing w:after="0" w:line="33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Our Class A shares are also used as a form of compensation to our directors. See Note 18 to our Consolidated Financial Statements for additional information regarding our equity-indexed compensation plans.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B shares and Class C shares are not listed or traded on any stock exchange.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following graph compares the total unitholder return performance of our Class A shares with the performance of: (i) the Standard &amp; Poor’s 500 Stock Index (“S&amp;P 500”) and (ii) the Alerian MLP Index. The Alerian MLP Index is a composite of the most prominent energy master limited partnerships that provides investors with a comprehensive benchmark for this asset class. The graph assumes that $100 was invested in our Class A shares and each comparison index beginning on December 31, 2015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134620</wp:posOffset>
            </wp:positionV>
            <wp:extent cx="5846445" cy="29146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12/31/2020</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PAGP</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203.04</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Alerian MLP Index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2020, certain Legacy Owners or their permitted transferees exercised the Exchange Right, which resulted in the issuance of 6,756,970 Class A shares. The issuance of Class A shares in connection with the exercise of the Exchange Rights was exempt from the registration requirements of the Securities Act of 1933, as amended, pursuant to Section 4(a)(2)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3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our partnership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5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December 31, 2020, we directly and indirectly owned approximately 194.1 million AAP units, which represented an approximate 79%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2020, AAP owned approximately 245.8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2020, 2019, 2018, 2017 and 2016 and for the years then ended.</w:t>
      </w:r>
    </w:p>
    <w:p>
      <w:pPr>
        <w:spacing w:after="0" w:line="19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18"/>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26,223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20,182</w:t>
            </w: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income/(loss)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income/(loss) </w:t>
            </w:r>
            <w:r>
              <w:rPr>
                <w:rFonts w:ascii="Arial" w:cs="Arial" w:eastAsia="Arial" w:hAnsi="Arial"/>
                <w:sz w:val="23"/>
                <w:szCs w:val="23"/>
                <w:color w:val="auto"/>
                <w:vertAlign w:val="superscript"/>
              </w:rPr>
              <w:t>(1)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29"/>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income/(loss) attributable to PAGP </w:t>
            </w:r>
            <w:r>
              <w:rPr>
                <w:rFonts w:ascii="Arial" w:cs="Arial" w:eastAsia="Arial" w:hAnsi="Arial"/>
                <w:sz w:val="23"/>
                <w:szCs w:val="23"/>
                <w:color w:val="auto"/>
                <w:vertAlign w:val="superscript"/>
              </w:rPr>
              <w:t>(1) (2)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57"/>
        </w:trPr>
        <w:tc>
          <w:tcPr>
            <w:tcW w:w="4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Basic net income/(loss) per Class A share </w:t>
            </w:r>
            <w:r>
              <w:rPr>
                <w:rFonts w:ascii="Arial" w:cs="Arial" w:eastAsia="Arial" w:hAnsi="Arial"/>
                <w:sz w:val="23"/>
                <w:szCs w:val="23"/>
                <w:color w:val="auto"/>
                <w:vertAlign w:val="superscript"/>
              </w:rPr>
              <w:t>(1)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29"/>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 (2)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Declared distributions per Class A share </w:t>
            </w:r>
            <w:r>
              <w:rPr>
                <w:rFonts w:ascii="Arial" w:cs="Arial" w:eastAsia="Arial" w:hAnsi="Arial"/>
                <w:sz w:val="23"/>
                <w:szCs w:val="23"/>
                <w:color w:val="auto"/>
                <w:vertAlign w:val="superscript"/>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4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end of period):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(1) (4)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w:t>
            </w: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(1) (5)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26,103</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23"/>
                <w:szCs w:val="23"/>
                <w:color w:val="auto"/>
                <w:vertAlign w:val="superscript"/>
              </w:rPr>
              <w:t>(5)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Partners’ capital:</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Partners’ capital (excluding Noncontrolling interests)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30"/>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Partners’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w:t>
            </w:r>
          </w:p>
        </w:tc>
      </w:tr>
      <w:tr>
        <w:trPr>
          <w:trHeight w:val="257"/>
        </w:trPr>
        <w:tc>
          <w:tcPr>
            <w:tcW w:w="4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Net cash provided by/(used in) financing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Investment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Acquisition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3"/>
                <w:szCs w:val="23"/>
                <w:b w:val="1"/>
                <w:bCs w:val="1"/>
                <w:color w:val="auto"/>
                <w:vertAlign w:val="superscript"/>
              </w:rPr>
              <w:t>(6) (7)</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w w:val="93"/>
              </w:rPr>
              <w:t>Transportation segment (average daily volumes in thousands of</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Arial" w:cs="Arial" w:eastAsia="Arial" w:hAnsi="Arial"/>
                <w:sz w:val="18"/>
                <w:szCs w:val="18"/>
                <w:color w:val="auto"/>
              </w:rPr>
              <w:t>barrels per day):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Tariff activities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segment: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140"/>
              <w:spacing w:after="0" w:line="176" w:lineRule="exact"/>
              <w:rPr>
                <w:sz w:val="20"/>
                <w:szCs w:val="20"/>
                <w:color w:val="auto"/>
              </w:rPr>
            </w:pPr>
            <w:r>
              <w:rPr>
                <w:rFonts w:ascii="Arial" w:cs="Arial" w:eastAsia="Arial" w:hAnsi="Arial"/>
                <w:sz w:val="18"/>
                <w:szCs w:val="18"/>
                <w:color w:val="auto"/>
              </w:rPr>
              <w:t>Liquids storage (average monthly capacity in millions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4780" w:type="dxa"/>
            <w:vAlign w:val="bottom"/>
          </w:tcPr>
          <w:p>
            <w:pPr>
              <w:ind w:left="480"/>
              <w:spacing w:after="0" w:line="202"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(8)</w:t>
            </w: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color w:val="auto"/>
              </w:rPr>
              <w:t>Natural gas storage (average monthly working capacity in</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billions of cubic feet)</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1"/>
              </w:rPr>
              <w:t>NGL fractionation (average volumes in thousands of barrels per</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4780" w:type="dxa"/>
            <w:vAlign w:val="bottom"/>
          </w:tcPr>
          <w:p>
            <w:pPr>
              <w:ind w:left="480"/>
              <w:spacing w:after="0" w:line="202" w:lineRule="exact"/>
              <w:rPr>
                <w:sz w:val="20"/>
                <w:szCs w:val="20"/>
                <w:color w:val="auto"/>
              </w:rPr>
            </w:pPr>
            <w:r>
              <w:rPr>
                <w:rFonts w:ascii="Arial" w:cs="Arial" w:eastAsia="Arial" w:hAnsi="Arial"/>
                <w:sz w:val="18"/>
                <w:szCs w:val="18"/>
                <w:color w:val="auto"/>
              </w:rPr>
              <w:t>day)</w:t>
            </w: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Facilities segment total volumes (average monthly volumes in</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millions of barrels)</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(average daily volumes in</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thousands of barrels 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During the year ended December 31, 2020, we recognized impairments of approximately $3.4 billion. See Note 6, Note 7 and Note 8 to our Consolidated Financial Statements for additional information.</w:t>
      </w:r>
    </w:p>
    <w:p>
      <w:pPr>
        <w:spacing w:after="0" w:line="197" w:lineRule="exact"/>
        <w:rPr>
          <w:sz w:val="20"/>
          <w:szCs w:val="20"/>
          <w:color w:val="auto"/>
        </w:rPr>
      </w:pPr>
    </w:p>
    <w:p>
      <w:pPr>
        <w:jc w:val="both"/>
        <w:ind w:left="20" w:right="220" w:hanging="11"/>
        <w:spacing w:after="0" w:line="311" w:lineRule="auto"/>
        <w:rPr>
          <w:sz w:val="20"/>
          <w:szCs w:val="20"/>
          <w:color w:val="auto"/>
        </w:rPr>
      </w:pPr>
      <w:r>
        <w:rPr>
          <w:rFonts w:ascii="Arial" w:cs="Arial" w:eastAsia="Arial" w:hAnsi="Arial"/>
          <w:sz w:val="16"/>
          <w:szCs w:val="16"/>
          <w:color w:val="auto"/>
        </w:rPr>
        <w:t>During the year ended December 31, 2017, we recorded approximately $823 million related to the re-measurement of our existing deferred tax asset as a result of the reduction in our effective tax rate from the change in corporate federal income tax rate from 35% to 21%. See Note 15 to our Consolidated Financial Statements in our Annual Report on Form 10-K for the year ended December 31, 2017 for additional information.</w:t>
      </w:r>
    </w:p>
    <w:p>
      <w:pPr>
        <w:spacing w:after="0" w:line="41"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Represents cash distributions declared and paid per share during the year presented. See Note 12 to our Consolidated Financial Statements for further discussion regarding our distributions.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discussion of our acquisitions and dispositions completed during the three years ended December 31, 2020.</w:t>
      </w:r>
    </w:p>
    <w:p>
      <w:pPr>
        <w:spacing w:after="0" w:line="117" w:lineRule="exact"/>
        <w:rPr>
          <w:sz w:val="20"/>
          <w:szCs w:val="20"/>
          <w:color w:val="auto"/>
        </w:rPr>
      </w:pPr>
    </w:p>
    <w:p>
      <w:pPr>
        <w:ind w:left="20" w:right="80" w:hanging="11"/>
        <w:spacing w:after="0" w:line="263"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the optional transitional method. Prior period amounts have not been adjusted and continue to be reported in accordance with our historic accounting under Accounting Standards Codification Topic 840.</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140" w:lineRule="exact"/>
        <w:rPr>
          <w:sz w:val="20"/>
          <w:szCs w:val="20"/>
          <w:color w:val="auto"/>
        </w:rPr>
      </w:pPr>
    </w:p>
    <w:p>
      <w:pPr>
        <w:ind w:left="20" w:hanging="11"/>
        <w:spacing w:after="0" w:line="259" w:lineRule="auto"/>
        <w:rPr>
          <w:sz w:val="20"/>
          <w:szCs w:val="20"/>
          <w:color w:val="auto"/>
        </w:rPr>
      </w:pPr>
      <w:r>
        <w:rPr>
          <w:rFonts w:ascii="Arial" w:cs="Arial" w:eastAsia="Arial" w:hAnsi="Arial"/>
          <w:sz w:val="18"/>
          <w:szCs w:val="18"/>
          <w:color w:val="auto"/>
        </w:rPr>
        <w:t>Facilities segment total volumes are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56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5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 comparative discussion of our 2019 to 2018 operating results and performance measures can be found in Item 7. “Management’s Discussion and Analysis of Financial Condition and Results of Operations—Results of Operations” included in our Annual Report on Form 10-K for the year ended December 31, 2019 filed with the SEC on February 27,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are a Delaware limited partnership formed in 2013 that has elected to be taxed as a corporation for United States federal income tax purposes. As of December 31, 2020, our sole cash-generating assets consisted of (i) a 100% managing member interest in GP LLC, an entity that has also elected to be taxed as a corporation for United States federal income tax purposes and (ii) an approximate 79% limited partner interest in AAP through our direct ownership of approximately 193.1 million AAP units and indirect ownership of approximately 1.0 million AAP units through GP LLC. GP LLC is a Delaware limited liability company that also holds the non-economic general partner interest in AAP. AAP is a Delaware limited partnership that, as of December 31, 2020, directly owned a limited partner interest in PAA through its ownership of approximately 245.8 million PAA common units (approximately 31% PAA’s total outstanding common units and Series A preferred units combined). AAP is the sole member of PAA GP, a Delaware limited liability company that directly holds the non-economic general partner interest in PAA.</w:t>
      </w:r>
    </w:p>
    <w:p>
      <w:pPr>
        <w:spacing w:after="0" w:line="20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NGL and natural gas. PAA’s business activities are conducted through three operating segments: Transportation, Facilities and Supply and Logistics. See “—Results of Operations—Analysis of Operating Segments”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and Outlook</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first quarter of 2020, COVID-19 escalated into a global pandemic, which led to widespread shelter-in-place or similar requirements throughout North America and across the world, resulting in significantly reduced energy demand. As a result, North American producers responded aggressively by shutting in significant levels of production early in the second quarter, which mitigated the pace of crude oil inventory builds and the risk of testing storage maximums. Subsequently, United States refinery utilization increased, the previously steep contango market structure tempered, and crude oil prices improved to more constructive levels. Over the course of the second half of the year, the more constructive price environment allowed oil and gas producers to return to production wells that were previously shut-in, resume completion activities and begin to increase drilling activities during the third quarter at a level that is lower than pre-pandemic, but likely at a level that is sufficient to offset natural declines.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While prices have rebounded to levels that are near pre-pandemic levels, drilling activity is at a fraction of pre-pandemic levels as evidenced by the Lower 48 rig count, which is approximately 40% of peak levels reached in 2020 pre-COVID-19. Many oil and gas producers in the United States have publicly stated their intention to reduce capital investment in oil and gas drilling activities in 2021 as they strive to improve their financial metrics and increase returns to shareholders. Accordingly, we expect oil and gas drilling activities to continue to be lower than pre-pandemic levels which in turn will slow the growth in oil production, relative to pre-pandemic expectations of production growth. We expect that the combination of a muted growth in production, with excess pipeline capacity in most of our operating areas will have a negative impact on our business relative to pre-pandemic levels, with the impacts in 2021 being more pronounced than in 2020.</w:t>
      </w:r>
    </w:p>
    <w:p>
      <w:pPr>
        <w:spacing w:after="0" w:line="20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Similar to the actions taken by oil and gas producers, we have implemented a number of initiatives, as described below, to ensure that we are positioned to manage through the current challenging market environment. Longer term, we expect global demand for hydrocarbons will recover, which should drive higher production levels in key onshore shale basins, which should support growing demand for our assets. Also see Items 1. and 2. “Business and Properties—Global Petroleum Market Overview and Fundamental Themes” for additional information.</w:t>
      </w:r>
    </w:p>
    <w:p>
      <w:pPr>
        <w:spacing w:after="0" w:line="19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response to the challenging near-term market conditions has been to focus on measures to strengthen our balance sheet, liquidity and long-term financial flexibility. These actions include significantly reducing our capital program, reducing the amount of our common equity distributions, progressing asset sales, and reducing costs, while remaining focused on operating safely and responsibly.</w:t>
      </w:r>
    </w:p>
    <w:p>
      <w:pPr>
        <w:spacing w:after="0" w:line="211"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Specifically, since April, we have reduced our 2020/2021 capital program by $950 million, or 41%, and have decreased PAA’s common unit distributions and our Class A share distributions by 50% versus the distributions paid in February 2020, which reflects a reduction of $525 million on an annualized basis. We have also completed approximately $450 million of asset sales. 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 See “Risk Factors—Risks Related to PAA’s Business” in Item 1A.</w:t>
      </w:r>
    </w:p>
    <w:p>
      <w:pPr>
        <w:spacing w:after="0" w:line="20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many governments have enacted or are contemplating measures to provide aid and economic stimulus in response to the COVID-19 pandemic. These measures include actions by both the United States federal government and the government of Canada. There has been no material direct impact to our financial position, results of operations or cash flows resulting from these measures. However, our Canadian subsidiary participated in a wage subsidy program during the second, third and fourth quarters of 2020 for subsidies totaling approximately $23 million. The impact of such subsidies is included in the line items “Field operating costs” and “Segment general and administrative expenses” of the applicable segments. See “—Results of Operations—Analysis of Operating Segments” for further discussion.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2020 as discussed further below. See “—Liquidity and Capital Resources” for additional discussion of the expected and potential impact of COVID-19 and related market conditions on our business.</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recognized a net loss of $2.440 billion for the year ended December 31, 2020 compared to net income of $2.062 billion recognized for the year ended December 31, 2019. The net loss for the period was driven by goodwill impairment losses of $2.515 billion and was also impacted by non-cash impairment charges of approximately $914 million related to the write-down of certain pipeline and other long-lived assets, certain of our investments in unconsolidated entities, and assets upon classification as held for sale. In addition, we recognized approximately $233 million of inventory valuation adjustments due to declines in commodity prices primarily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52" w:lineRule="exact"/>
        <w:rPr>
          <w:sz w:val="20"/>
          <w:szCs w:val="20"/>
          <w:color w:val="auto"/>
        </w:rPr>
      </w:pPr>
    </w:p>
    <w:p>
      <w:pPr>
        <w:ind w:left="980" w:right="12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favorable results from our Supply and Logistics segment due to less favorable crude oil differentials, lower NGL margins and the unfavorable impact of the mark-to-market of certain derivative instruments, resulting in higher losses recognized in 2020 compared to 2019, partially offset by the favorable impact of contango market conditions during 2020;</w:t>
      </w:r>
    </w:p>
    <w:p>
      <w:pPr>
        <w:spacing w:after="0" w:line="210"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Less favorable results from our Transportation segment driven by lower volumes from shut-ins of crude oil production, reduced drilling and completion activity and compressed regional basis differentials, a portion of which are covered by minimum volume commitments that will be made up or paid for in future periods, and lower pipeline loss allowance revenue in 2020 due to lower prices and volumes, partially offset by lower field operating costs;</w:t>
      </w:r>
    </w:p>
    <w:p>
      <w:pPr>
        <w:spacing w:after="0" w:line="213" w:lineRule="exact"/>
        <w:rPr>
          <w:rFonts w:ascii="Arial" w:cs="Arial" w:eastAsia="Arial" w:hAnsi="Arial"/>
          <w:sz w:val="18"/>
          <w:szCs w:val="18"/>
          <w:i w:val="1"/>
          <w:iCs w:val="1"/>
          <w:color w:val="auto"/>
        </w:rPr>
      </w:pPr>
    </w:p>
    <w:p>
      <w:pPr>
        <w:ind w:left="980" w:right="200" w:hanging="324"/>
        <w:spacing w:after="0" w:line="308"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acquired assets, the completion of various investment capital projects and a reduction in the useful lives of certain assets;</w:t>
      </w:r>
    </w:p>
    <w:p>
      <w:pPr>
        <w:spacing w:after="0" w:line="173" w:lineRule="exact"/>
        <w:rPr>
          <w:rFonts w:ascii="Arial" w:cs="Arial" w:eastAsia="Arial" w:hAnsi="Arial"/>
          <w:sz w:val="17"/>
          <w:szCs w:val="17"/>
          <w:color w:val="auto"/>
        </w:rPr>
      </w:pPr>
    </w:p>
    <w:p>
      <w:pPr>
        <w:ind w:left="980" w:right="40" w:hanging="324"/>
        <w:spacing w:after="0" w:line="259"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in February 2020, compared to a non-cash gain of $269 million recognized in the 2019 period related to a fair value adjustment resulting from the accounting for the contribution of our undivided joint interest in the Capline pipeline system for an equity interest in Capline Pipeline Company LLC; partially offset by</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Favorable results from our Facilities segment primarily due to lower field operating costs; and</w:t>
      </w:r>
    </w:p>
    <w:p>
      <w:pPr>
        <w:spacing w:after="0" w:line="252" w:lineRule="exact"/>
        <w:rPr>
          <w:rFonts w:ascii="Arial" w:cs="Arial" w:eastAsia="Arial" w:hAnsi="Arial"/>
          <w:sz w:val="18"/>
          <w:szCs w:val="18"/>
          <w:i w:val="1"/>
          <w:iCs w:val="1"/>
          <w:color w:val="auto"/>
        </w:rPr>
      </w:pPr>
    </w:p>
    <w:p>
      <w:pPr>
        <w:ind w:left="980" w:right="22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favorable impact on income tax expense of (i) lower income attributable to PAGP as a result of lower earnings at PAA and (ii) lower taxable earnings and lower year-over-year income as impacted by fluctuations in the derivative mark-to-market valuations in our Canadian operations.</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invested $921 million in midstream infrastructure projects during 2020, which primarily related to projects under development in the Permian Basin. See “—Liquidity and Capital Resources—Investing Activities—Investment Capital Projects” for additional information. Additionally, during the first quarter of 2020, we acquired $310 million of assets, which primarily included a crude oil gathering system located in the Delaware Basin.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paid approximately $863 million of cash distributions to our Class A Shareholders and noncontrolling interests during 2020.</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2020, PAA completed the issuance of $750 million, 3.80% senior notes due September 2030. We used the net proceeds from this offering of $742 million, after deducting the underwriting discount and offering expenses, to repay the principal amounts of PAA’s 5.00% senior notes due February 2021 in November 2020. See “—Liquidity and Capital Resources—Financing Activities—Senior Notes” for additional information.</w:t>
      </w:r>
    </w:p>
    <w:p>
      <w:pPr>
        <w:spacing w:after="0" w:line="19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During the fourth quarter of 2020, PAA repurchased 6.6 million common units for $53 million, which includes repurchases of 350,000 common units for $3 million that did not settle until January 2021. See “—Liquidity and Capital Resources—Financing Activities—Common Equity Repurchase Program”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 (iv) accruals and contingent liabilities, (v) property and equipment, depreciation and amortization expense and asset retirement obligations, (vi) impairment assessments of property and equipment and investments in unconsolidated entities and (vii)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9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Impairment Assessments of Goodwill and Intangible Assets. </w:t>
      </w:r>
      <w:r>
        <w:rPr>
          <w:rFonts w:ascii="Arial" w:cs="Arial" w:eastAsia="Arial" w:hAnsi="Arial"/>
          <w:sz w:val="17"/>
          <w:szCs w:val="17"/>
          <w:color w:val="auto"/>
        </w:rPr>
        <w:t>Goodwill and intangible assets with indefinite lives are not amortized but are instead</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periodically assessed for impairment. Intangible assets with finite lives are amortized over their estimated useful life as determined by management. See Note 8 and Note 10 to our Consolidated Financial Statements for further discussion of goodwill and intangible assets.</w:t>
      </w:r>
    </w:p>
    <w:p>
      <w:pPr>
        <w:spacing w:after="0" w:line="19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Impairment testing entails estimating future net cash flows relating to the business, based on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9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will 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also have embedded derivatives that are recorded at fair value on our Consolidated Balance Sheets. These embedded derivatives are valued using models that contain inputs, some of which involve management judgment.</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potential legal claims or</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w:t>
      </w:r>
    </w:p>
    <w:p>
      <w:pPr>
        <w:spacing w:after="0" w:line="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$19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1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and Asset Retirement Obligations. </w:t>
      </w:r>
      <w:r>
        <w:rPr>
          <w:rFonts w:ascii="Arial" w:cs="Arial" w:eastAsia="Arial" w:hAnsi="Arial"/>
          <w:sz w:val="16"/>
          <w:szCs w:val="16"/>
          <w:color w:val="auto"/>
        </w:rPr>
        <w:t>We compute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21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i w:val="1"/>
          <w:iCs w:val="1"/>
          <w:color w:val="auto"/>
        </w:rPr>
        <w:t xml:space="preserve">Impairment Assessments of Property and Equipment and Investments in Unconsolidated Entities. </w:t>
      </w:r>
      <w:r>
        <w:rPr>
          <w:rFonts w:ascii="Arial" w:cs="Arial" w:eastAsia="Arial" w:hAnsi="Arial"/>
          <w:sz w:val="16"/>
          <w:szCs w:val="16"/>
          <w:color w:val="auto"/>
        </w:rPr>
        <w:t>We periodically evaluate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4"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9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0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 decline in value of the investment;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decline in value is other than temporary;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fair value of the investment.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ind w:left="8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ind w:left="80"/>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80" w:right="600" w:firstLine="648"/>
        <w:spacing w:after="0" w:line="342" w:lineRule="auto"/>
        <w:rPr>
          <w:sz w:val="20"/>
          <w:szCs w:val="20"/>
          <w:color w:val="auto"/>
        </w:rPr>
      </w:pPr>
      <w:r>
        <w:rPr>
          <w:rFonts w:ascii="Arial" w:cs="Arial" w:eastAsia="Arial" w:hAnsi="Arial"/>
          <w:sz w:val="16"/>
          <w:szCs w:val="16"/>
          <w:color w:val="auto"/>
        </w:rPr>
        <w:t>A change in our outlook or use could result in impairments that may be material to our results of operations or financial condition. See “— Executive Summary— Recent Events and Outlook” and Note 6 and Note 9 to our Consolidated Financial Statements for additional information.</w:t>
      </w:r>
    </w:p>
    <w:p>
      <w:pPr>
        <w:spacing w:after="0" w:line="151" w:lineRule="exact"/>
        <w:rPr>
          <w:sz w:val="20"/>
          <w:szCs w:val="20"/>
          <w:color w:val="auto"/>
        </w:rPr>
      </w:pPr>
    </w:p>
    <w:p>
      <w:pPr>
        <w:ind w:left="80" w:right="100"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and NGL and is valued at the lower of cost or net</w:t>
      </w:r>
      <w:r>
        <w:rPr>
          <w:rFonts w:ascii="Arial" w:cs="Arial" w:eastAsia="Arial" w:hAnsi="Arial"/>
          <w:sz w:val="17"/>
          <w:szCs w:val="17"/>
          <w:i w:val="1"/>
          <w:iCs w:val="1"/>
          <w:color w:val="auto"/>
        </w:rPr>
        <w:t xml:space="preserve"> </w:t>
      </w:r>
      <w:r>
        <w:rPr>
          <w:rFonts w:ascii="Arial" w:cs="Arial" w:eastAsia="Arial" w:hAnsi="Arial"/>
          <w:sz w:val="17"/>
          <w:szCs w:val="17"/>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2020, 2019 and 2018, we recorded charges of $233 million, $11 million and $8 million, respectively, related to the valuation adjustment of our crude oil inventory due to declines in prices. See Note 5 to our Consolidated Financial Statements for further discussion regarding inventory.</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80" w:right="92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80" w:right="6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6"/>
                <w:szCs w:val="16"/>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4"/>
        </w:trPr>
        <w:tc>
          <w:tcPr>
            <w:tcW w:w="5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Selected items impacting comparability - Segment Adjusted EBITDA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208 %</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Class A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Diluted net income/(loss) per Class A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Diluted weighted average Class A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274320</wp:posOffset>
            </wp:positionV>
            <wp:extent cx="22885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w:t>
        <w:tab/>
        <w:t>Indicates that variance as a percentage is not meaningful.</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30" w:right="339" w:bottom="1440" w:gutter="0" w:footer="0" w:header="0"/>
        </w:sectPr>
      </w:pPr>
    </w:p>
    <w:bookmarkStart w:id="85" w:name="page86"/>
    <w:bookmarkEnd w:id="85"/>
    <w:p>
      <w:pPr>
        <w:ind w:left="73"/>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ind w:left="73"/>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86" w:lineRule="exact"/>
        <w:rPr>
          <w:sz w:val="20"/>
          <w:szCs w:val="20"/>
          <w:color w:val="auto"/>
        </w:rPr>
      </w:pPr>
    </w:p>
    <w:p>
      <w:pPr>
        <w:ind w:left="733" w:right="140" w:hanging="733"/>
        <w:spacing w:after="0" w:line="238" w:lineRule="auto"/>
        <w:tabs>
          <w:tab w:leader="none" w:pos="721"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21 to our Consolidated Financial Statements for additional discussion of such adjustments.</w:t>
      </w:r>
    </w:p>
    <w:p>
      <w:pPr>
        <w:spacing w:after="0" w:line="229" w:lineRule="exact"/>
        <w:rPr>
          <w:sz w:val="20"/>
          <w:szCs w:val="20"/>
          <w:color w:val="auto"/>
        </w:rPr>
      </w:pPr>
    </w:p>
    <w:p>
      <w:pPr>
        <w:ind w:left="73"/>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left="73" w:right="46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w:t>
      </w:r>
    </w:p>
    <w:p>
      <w:pPr>
        <w:spacing w:after="0" w:line="197" w:lineRule="exact"/>
        <w:rPr>
          <w:sz w:val="20"/>
          <w:szCs w:val="20"/>
          <w:color w:val="auto"/>
        </w:rPr>
      </w:pPr>
    </w:p>
    <w:p>
      <w:pPr>
        <w:ind w:left="73" w:firstLine="648"/>
        <w:spacing w:after="0" w:line="311" w:lineRule="auto"/>
        <w:rPr>
          <w:sz w:val="20"/>
          <w:szCs w:val="20"/>
          <w:color w:val="auto"/>
        </w:rPr>
      </w:pPr>
      <w:r>
        <w:rPr>
          <w:rFonts w:ascii="Arial" w:cs="Arial" w:eastAsia="Arial" w:hAnsi="Arial"/>
          <w:sz w:val="16"/>
          <w:szCs w:val="16"/>
          <w:color w:val="auto"/>
        </w:rPr>
        <w:t>The primary additional measure used by management is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176" w:lineRule="exact"/>
        <w:rPr>
          <w:sz w:val="20"/>
          <w:szCs w:val="20"/>
          <w:color w:val="auto"/>
        </w:rPr>
      </w:pPr>
    </w:p>
    <w:p>
      <w:pPr>
        <w:ind w:left="73" w:right="6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Consolidated Financial Statements and accompanying notes.</w:t>
      </w:r>
    </w:p>
    <w:p>
      <w:pPr>
        <w:spacing w:after="0" w:line="211" w:lineRule="exact"/>
        <w:rPr>
          <w:sz w:val="20"/>
          <w:szCs w:val="20"/>
          <w:color w:val="auto"/>
        </w:rPr>
      </w:pPr>
    </w:p>
    <w:p>
      <w:pPr>
        <w:ind w:left="73" w:right="20"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9" w:lineRule="exact"/>
        <w:rPr>
          <w:sz w:val="20"/>
          <w:szCs w:val="20"/>
          <w:color w:val="auto"/>
        </w:rPr>
      </w:pPr>
    </w:p>
    <w:p>
      <w:pPr>
        <w:ind w:left="73" w:right="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73"/>
          </w:cols>
          <w:pgMar w:left="247" w:top="130" w:right="37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the reconciliation of our non-GAAP financial performance measure Adjusted EBITDA from Net Income/(Loss)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6"/>
                <w:szCs w:val="16"/>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980" w:type="dxa"/>
            <w:vAlign w:val="bottom"/>
          </w:tcPr>
          <w:p>
            <w:pPr>
              <w:ind w:left="80"/>
              <w:spacing w:after="0"/>
              <w:rPr>
                <w:sz w:val="20"/>
                <w:szCs w:val="20"/>
                <w:color w:val="auto"/>
              </w:rPr>
            </w:pPr>
            <w:r>
              <w:rPr>
                <w:rFonts w:ascii="Arial" w:cs="Arial" w:eastAsia="Arial" w:hAnsi="Arial"/>
                <w:sz w:val="18"/>
                <w:szCs w:val="18"/>
                <w:color w:val="auto"/>
              </w:rPr>
              <w:t>Income tax expense/(benefit)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5980" w:type="dxa"/>
            <w:vAlign w:val="bottom"/>
          </w:tcPr>
          <w:p>
            <w:pPr>
              <w:ind w:left="8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980" w:type="dxa"/>
            <w:vAlign w:val="bottom"/>
          </w:tcPr>
          <w:p>
            <w:pPr>
              <w:ind w:left="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30"/>
        </w:trPr>
        <w:tc>
          <w:tcPr>
            <w:tcW w:w="598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95"/>
              </w:rPr>
              <w:t xml:space="preserve">Losses from derivative activities net of inventory valuation adjustments </w:t>
            </w:r>
            <w:r>
              <w:rPr>
                <w:rFonts w:ascii="Arial" w:cs="Arial" w:eastAsia="Arial" w:hAnsi="Arial"/>
                <w:sz w:val="23"/>
                <w:szCs w:val="23"/>
                <w:color w:val="auto"/>
                <w:w w:val="95"/>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Segment Adjusted EBITDA</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gain on early repayment of senior notes </w:t>
            </w:r>
            <w:r>
              <w:rPr>
                <w:rFonts w:ascii="Arial" w:cs="Arial" w:eastAsia="Arial" w:hAnsi="Arial"/>
                <w:sz w:val="23"/>
                <w:szCs w:val="23"/>
                <w:color w:val="auto"/>
                <w:vertAlign w:val="superscript"/>
              </w:rPr>
              <w:t>(9)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CCEEFF"/>
            </w:tcBorders>
          </w:tcPr>
          <w:p>
            <w:pPr>
              <w:ind w:left="24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(10)</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660" w:right="400" w:hanging="652"/>
        <w:spacing w:after="0" w:line="234" w:lineRule="auto"/>
        <w:tabs>
          <w:tab w:leader="none" w:pos="648"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94" w:lineRule="exact"/>
        <w:rPr>
          <w:rFonts w:ascii="Arial" w:cs="Arial" w:eastAsia="Arial" w:hAnsi="Arial"/>
          <w:sz w:val="23"/>
          <w:szCs w:val="23"/>
          <w:color w:val="auto"/>
          <w:vertAlign w:val="superscript"/>
        </w:rPr>
      </w:pPr>
    </w:p>
    <w:p>
      <w:pPr>
        <w:ind w:left="660" w:hanging="652"/>
        <w:spacing w:after="0" w:line="260" w:lineRule="auto"/>
        <w:tabs>
          <w:tab w:leader="none" w:pos="648" w:val="left"/>
        </w:tabs>
        <w:numPr>
          <w:ilvl w:val="0"/>
          <w:numId w:val="4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13 to our Consolidated Financial Statements for a comprehensive discussion regarding our derivatives and risk management activities.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Index to Financial Statements</w:t>
        </w:r>
      </w:hyperlink>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20" w:hanging="11"/>
        <w:spacing w:after="0" w:line="273" w:lineRule="auto"/>
        <w:rPr>
          <w:sz w:val="20"/>
          <w:szCs w:val="20"/>
          <w:color w:val="auto"/>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for additional inventory disclosures.</w:t>
      </w:r>
    </w:p>
    <w:p>
      <w:pPr>
        <w:spacing w:after="0" w:line="70" w:lineRule="exact"/>
        <w:rPr>
          <w:sz w:val="20"/>
          <w:szCs w:val="20"/>
          <w:color w:val="auto"/>
        </w:rPr>
      </w:pPr>
    </w:p>
    <w:p>
      <w:pPr>
        <w:ind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60" w:hanging="11"/>
        <w:spacing w:after="0" w:line="291" w:lineRule="auto"/>
        <w:rPr>
          <w:sz w:val="20"/>
          <w:szCs w:val="20"/>
          <w:color w:val="auto"/>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PAA common units. The portion of compensation expense associated with awards that are certain to be settled in cash is not considered a selected item impacting comparability. See Note 18 to our Consolidated Financial Statements for a discussion regarding our equity-indexed compensation plans.</w:t>
      </w:r>
    </w:p>
    <w:p>
      <w:pPr>
        <w:spacing w:after="0" w:line="58" w:lineRule="exact"/>
        <w:rPr>
          <w:sz w:val="20"/>
          <w:szCs w:val="20"/>
          <w:color w:val="auto"/>
        </w:rPr>
      </w:pPr>
    </w:p>
    <w:p>
      <w:pPr>
        <w:ind w:right="60" w:hanging="11"/>
        <w:spacing w:after="0" w:line="257" w:lineRule="auto"/>
        <w:rPr>
          <w:sz w:val="20"/>
          <w:szCs w:val="20"/>
          <w:color w:val="auto"/>
        </w:rPr>
      </w:pPr>
      <w:r>
        <w:rPr>
          <w:rFonts w:ascii="Arial" w:cs="Arial" w:eastAsia="Arial" w:hAnsi="Arial"/>
          <w:sz w:val="18"/>
          <w:szCs w:val="18"/>
          <w:color w:val="auto"/>
        </w:rPr>
        <w:t>During the periods presented, there were fluctuations in the value of the Canadian dollar (“CAD”) to the U.S. dollar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 See Note 13 to our Consolidated Financial Statements for discussion regarding our currency exchange rate risk hedging activities.</w:t>
      </w:r>
    </w:p>
    <w:p>
      <w:pPr>
        <w:spacing w:after="0" w:line="80" w:lineRule="exact"/>
        <w:rPr>
          <w:sz w:val="20"/>
          <w:szCs w:val="20"/>
          <w:color w:val="auto"/>
        </w:rPr>
      </w:pPr>
    </w:p>
    <w:p>
      <w:pPr>
        <w:ind w:right="80" w:hanging="11"/>
        <w:spacing w:after="0" w:line="342" w:lineRule="auto"/>
        <w:rPr>
          <w:sz w:val="20"/>
          <w:szCs w:val="20"/>
          <w:color w:val="auto"/>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19 to our Consolidated Financial Statements for additional information regarding the Line 901 incident.</w:t>
      </w:r>
    </w:p>
    <w:p>
      <w:pPr>
        <w:spacing w:after="0" w:line="16" w:lineRule="exact"/>
        <w:rPr>
          <w:sz w:val="20"/>
          <w:szCs w:val="20"/>
          <w:color w:val="auto"/>
        </w:rPr>
      </w:pPr>
    </w:p>
    <w:p>
      <w:pPr>
        <w:ind w:right="140" w:hanging="11"/>
        <w:spacing w:after="0" w:line="277" w:lineRule="auto"/>
        <w:rPr>
          <w:sz w:val="20"/>
          <w:szCs w:val="20"/>
          <w:color w:val="auto"/>
        </w:rPr>
      </w:pPr>
      <w:r>
        <w:rPr>
          <w:rFonts w:ascii="Arial" w:cs="Arial" w:eastAsia="Arial" w:hAnsi="Arial"/>
          <w:sz w:val="18"/>
          <w:szCs w:val="18"/>
          <w:color w:val="auto"/>
        </w:rPr>
        <w:t>Includes acquisition-related expenses associated with the acquisition of Felix Midstream LLC (“Felix Midstream”) in February 2020. See Note 7 to our Consolidated Financial Statements for additional information.</w:t>
      </w:r>
    </w:p>
    <w:p>
      <w:pPr>
        <w:spacing w:after="0" w:line="62" w:lineRule="exact"/>
        <w:rPr>
          <w:sz w:val="20"/>
          <w:szCs w:val="20"/>
          <w:color w:val="auto"/>
        </w:rPr>
      </w:pPr>
    </w:p>
    <w:p>
      <w:pPr>
        <w:ind w:right="840" w:hanging="11"/>
        <w:spacing w:after="0" w:line="277" w:lineRule="auto"/>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 See Note 11 to our Consolidated Financial Statements for additional information.</w:t>
      </w:r>
    </w:p>
    <w:p>
      <w:pPr>
        <w:spacing w:after="0" w:line="62" w:lineRule="exact"/>
        <w:rPr>
          <w:sz w:val="20"/>
          <w:szCs w:val="20"/>
          <w:color w:val="auto"/>
        </w:rPr>
      </w:pPr>
    </w:p>
    <w:p>
      <w:pPr>
        <w:ind w:right="40" w:hanging="7"/>
        <w:spacing w:after="0" w:line="277" w:lineRule="auto"/>
        <w:rPr>
          <w:sz w:val="20"/>
          <w:szCs w:val="20"/>
          <w:color w:val="auto"/>
        </w:rPr>
      </w:pPr>
      <w:r>
        <w:rPr>
          <w:rFonts w:ascii="Arial" w:cs="Arial" w:eastAsia="Arial" w:hAnsi="Arial"/>
          <w:sz w:val="18"/>
          <w:szCs w:val="18"/>
          <w:color w:val="auto"/>
        </w:rPr>
        <w:t>Other income/(expense), net per our Consolidated Statements of Operations, adjusted for selected items impacting comparability (“Adjusted other income/(expense), net”) is included in Adjusted EBITDA and excluded from Segment Adjusted EBITDA.</w:t>
      </w:r>
    </w:p>
    <w:p>
      <w:pPr>
        <w:spacing w:after="0" w:line="200" w:lineRule="exact"/>
        <w:rPr>
          <w:sz w:val="20"/>
          <w:szCs w:val="20"/>
          <w:color w:val="auto"/>
        </w:rPr>
      </w:pPr>
    </w:p>
    <w:p>
      <w:pPr>
        <w:sectPr>
          <w:pgSz w:w="11900" w:h="16838" w:orient="portrait"/>
          <w:cols w:equalWidth="0" w:num="2">
            <w:col w:w="200" w:space="460"/>
            <w:col w:w="10560"/>
          </w:cols>
          <w:pgMar w:left="320" w:top="130" w:right="35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52"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21 to our Consolidated Financial Statements for a reconciliation of Segment Adjusted EBITDA to Net income/(loss) attributable to PAGP.</w:t>
      </w:r>
    </w:p>
    <w:p>
      <w:pPr>
        <w:spacing w:after="0" w:line="20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tcPr>
          <w:p>
            <w:pPr>
              <w:ind w:left="800"/>
              <w:spacing w:after="0"/>
              <w:rPr>
                <w:sz w:val="20"/>
                <w:szCs w:val="20"/>
                <w:color w:val="auto"/>
              </w:rPr>
            </w:pPr>
            <w:r>
              <w:rPr>
                <w:rFonts w:ascii="Arial" w:cs="Arial" w:eastAsia="Arial" w:hAnsi="Arial"/>
                <w:sz w:val="14"/>
                <w:szCs w:val="14"/>
                <w:b w:val="1"/>
                <w:bCs w:val="1"/>
                <w:color w:val="auto"/>
              </w:rPr>
              <w:t>Variance</w:t>
            </w:r>
          </w:p>
        </w:tc>
        <w:tc>
          <w:tcPr>
            <w:tcW w:w="860" w:type="dxa"/>
            <w:vAlign w:val="bottom"/>
          </w:tcPr>
          <w:p>
            <w:pPr>
              <w:spacing w:after="0"/>
              <w:rPr>
                <w:sz w:val="17"/>
                <w:szCs w:val="17"/>
                <w:color w:val="auto"/>
              </w:rPr>
            </w:pPr>
          </w:p>
        </w:tc>
      </w:tr>
      <w:tr>
        <w:trPr>
          <w:trHeight w:val="195"/>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98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598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Losses from derivative activities, net of inventory valuation adjustments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Line 901 incident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Significant acquisition-related expenses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9"/>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59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gridSpan w:val="2"/>
          </w:tcPr>
          <w:p>
            <w:pPr>
              <w:jc w:val="right"/>
              <w:ind w:right="16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6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3 %</w:t>
            </w:r>
          </w:p>
        </w:tc>
      </w:tr>
      <w:tr>
        <w:trPr>
          <w:trHeight w:val="582"/>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9"/>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820"/>
              <w:spacing w:after="0"/>
              <w:rPr>
                <w:sz w:val="20"/>
                <w:szCs w:val="20"/>
                <w:color w:val="auto"/>
              </w:rPr>
            </w:pPr>
            <w:r>
              <w:rPr>
                <w:rFonts w:ascii="Arial" w:cs="Arial" w:eastAsia="Arial" w:hAnsi="Arial"/>
                <w:sz w:val="14"/>
                <w:szCs w:val="14"/>
                <w:b w:val="1"/>
                <w:bCs w:val="1"/>
                <w:color w:val="auto"/>
              </w:rPr>
              <w:t>Variance</w:t>
            </w:r>
          </w:p>
        </w:tc>
        <w:tc>
          <w:tcPr>
            <w:tcW w:w="860" w:type="dxa"/>
            <w:vAlign w:val="bottom"/>
          </w:tcPr>
          <w:p>
            <w:pPr>
              <w:spacing w:after="0"/>
              <w:rPr>
                <w:sz w:val="24"/>
                <w:szCs w:val="24"/>
                <w:color w:val="auto"/>
              </w:rPr>
            </w:pPr>
          </w:p>
        </w:tc>
      </w:tr>
      <w:tr>
        <w:trPr>
          <w:trHeight w:val="202"/>
        </w:trPr>
        <w:tc>
          <w:tcPr>
            <w:tcW w:w="598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Volumes</w:t>
            </w:r>
          </w:p>
        </w:tc>
        <w:tc>
          <w:tcPr>
            <w:tcW w:w="86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3"/>
        </w:trPr>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9"/>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Crude oil pipelines (by region):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98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980" w:type="dxa"/>
            <w:vAlign w:val="bottom"/>
            <w:gridSpan w:val="3"/>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8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Gulf Coast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98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Western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Crude oil pipelines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6,613</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NGL pipelines</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6,805</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Trucking volumes</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Transportation segment total volumes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4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Index to Financial Statements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year divided by the number of days in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9"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Favorable/(Unfavorable) Variance</w:t>
      </w:r>
    </w:p>
    <w:p>
      <w:pPr>
        <w:jc w:val="center"/>
        <w:ind w:left="5340"/>
        <w:spacing w:after="0"/>
        <w:rPr>
          <w:sz w:val="20"/>
          <w:szCs w:val="20"/>
          <w:color w:val="auto"/>
        </w:rPr>
      </w:pPr>
      <w:r>
        <w:rPr>
          <w:rFonts w:ascii="Arial" w:cs="Arial" w:eastAsia="Arial" w:hAnsi="Arial"/>
          <w:sz w:val="14"/>
          <w:szCs w:val="14"/>
          <w:b w:val="1"/>
          <w:bCs w:val="1"/>
          <w:color w:val="auto"/>
        </w:rPr>
        <w:t>2020-2019</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4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Purchases and Related</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Equity Earnings</w:t>
            </w: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54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Crude oil pipelines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Permian Basin region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South Texas / Eagle Ford region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Central region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Rocky Mountain region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Canada region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70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Other regions, NGL pipelines, trucking and pipeline loss</w:t>
            </w:r>
          </w:p>
        </w:tc>
        <w:tc>
          <w:tcPr>
            <w:tcW w:w="3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ind w:left="12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revenue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Total variance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980" w:right="60" w:hanging="324"/>
        <w:spacing w:after="0" w:line="273" w:lineRule="auto"/>
        <w:tabs>
          <w:tab w:leader="none" w:pos="97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COVID-19 Impact. </w:t>
      </w:r>
      <w:r>
        <w:rPr>
          <w:rFonts w:ascii="Arial" w:cs="Arial" w:eastAsia="Arial" w:hAnsi="Arial"/>
          <w:sz w:val="17"/>
          <w:szCs w:val="17"/>
          <w:color w:val="auto"/>
        </w:rPr>
        <w:t>The destruction of demand for refined products, and therefore crude oil, caused by COVID-19 created a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imbalance in the crude oil markets for a portion of 2020 in all of our operating regions. This imbalance pushed crude oil prices to historically low levels, including negative values for at least one day in April 2020. In turn, these factors caused U.S. and Canadian producers to respond by quickly curtailing their crude oil production as well as their drilling and completion activities. These actions led to a decline of onshore, lower 48 U.S. oil production by approximately 1.4 million barrels of crude oil per day between February and May of 2020, according to the information provided by the EIA, and adversely impacted transportation volumes on our pipelines.</w:t>
      </w:r>
    </w:p>
    <w:p>
      <w:pPr>
        <w:spacing w:after="0" w:line="204" w:lineRule="exact"/>
        <w:rPr>
          <w:rFonts w:ascii="Arial" w:cs="Arial" w:eastAsia="Arial" w:hAnsi="Arial"/>
          <w:sz w:val="17"/>
          <w:szCs w:val="17"/>
          <w:color w:val="auto"/>
        </w:rPr>
      </w:pPr>
    </w:p>
    <w:p>
      <w:pPr>
        <w:ind w:left="980" w:hanging="324"/>
        <w:spacing w:after="0" w:line="270" w:lineRule="auto"/>
        <w:tabs>
          <w:tab w:leader="none" w:pos="975"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Revenues, net of purchases and related costs, (“net revenues”) decreased by $121 million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compared to the year ended December 31, 2019. This decrease was primarily due to lower long-haul pipeline movements to Cushing, Oklahoma and Corpus Christi, Texas due to compressed regional basis differentials, as well as lower volumes on our intra-basin pipelines that feed our long-haul pipelines, partially offset by increased volumes on our gathering pipelines, almost half of which was attributable to the Felix Midstream system we acquired in February 2020. Some shippers on the long-haul pipelines to Cushing and Corpus Christi have under-delivered relative to their minimum volume commitments; however, the earnings related to these volume shortfalls will not be recognized until future periods when either the shortfall is made up or when the shipper’s make-up rights expire or it is determined that their ability to utilize the make-up right is remote. Such deficiencies are reflected as an “Adjustment” in the table above as discussed further below under “—</w:t>
      </w:r>
      <w:r>
        <w:rPr>
          <w:rFonts w:ascii="Arial" w:cs="Arial" w:eastAsia="Arial" w:hAnsi="Arial"/>
          <w:sz w:val="17"/>
          <w:szCs w:val="17"/>
          <w:i w:val="1"/>
          <w:iCs w:val="1"/>
          <w:color w:val="auto"/>
        </w:rPr>
        <w:t>Adjustments: Deficiencies under minimum volume commitments, net.</w:t>
      </w:r>
      <w:r>
        <w:rPr>
          <w:rFonts w:ascii="Arial" w:cs="Arial" w:eastAsia="Arial" w:hAnsi="Arial"/>
          <w:sz w:val="17"/>
          <w:szCs w:val="17"/>
          <w:color w:val="auto"/>
        </w:rPr>
        <w:t>”</w:t>
      </w:r>
    </w:p>
    <w:p>
      <w:pPr>
        <w:spacing w:after="0" w:line="207" w:lineRule="exact"/>
        <w:rPr>
          <w:rFonts w:ascii="Arial" w:cs="Arial" w:eastAsia="Arial" w:hAnsi="Arial"/>
          <w:sz w:val="17"/>
          <w:szCs w:val="17"/>
          <w:i w:val="1"/>
          <w:iCs w:val="1"/>
          <w:color w:val="auto"/>
        </w:rPr>
      </w:pPr>
    </w:p>
    <w:p>
      <w:pPr>
        <w:ind w:left="980" w:right="140"/>
        <w:spacing w:after="0" w:line="263" w:lineRule="auto"/>
        <w:rPr>
          <w:rFonts w:ascii="Arial" w:cs="Arial" w:eastAsia="Arial" w:hAnsi="Arial"/>
          <w:sz w:val="17"/>
          <w:szCs w:val="17"/>
          <w:i w:val="1"/>
          <w:iCs w:val="1"/>
          <w:color w:val="auto"/>
        </w:rPr>
      </w:pPr>
      <w:r>
        <w:rPr>
          <w:rFonts w:ascii="Arial" w:cs="Arial" w:eastAsia="Arial" w:hAnsi="Arial"/>
          <w:sz w:val="18"/>
          <w:szCs w:val="18"/>
          <w:color w:val="auto"/>
        </w:rPr>
        <w:t>The increase in equity earnings over the comparative period was primarily from our 65% interest in the Cactus II pipeline, which was placed in service in August 2019, partially offset by lower equity earnings from our 20% interest in the BridgeTex pipeline primarily due to lower volumes.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980" w:right="140" w:hanging="324"/>
        <w:spacing w:after="0" w:line="277" w:lineRule="auto"/>
        <w:tabs>
          <w:tab w:leader="none" w:pos="97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The decrease in revenues for the year ended December 31, 2020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was due to lower volumes, primarily related to lower production.</w:t>
      </w:r>
    </w:p>
    <w:p>
      <w:pPr>
        <w:spacing w:after="0" w:line="197" w:lineRule="exact"/>
        <w:rPr>
          <w:rFonts w:ascii="Arial" w:cs="Arial" w:eastAsia="Arial" w:hAnsi="Arial"/>
          <w:sz w:val="18"/>
          <w:szCs w:val="18"/>
          <w:i w:val="1"/>
          <w:iCs w:val="1"/>
          <w:color w:val="auto"/>
        </w:rPr>
      </w:pPr>
    </w:p>
    <w:p>
      <w:pPr>
        <w:ind w:left="98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Equity earnings from our 50% interest in the Eagle Ford pipeline decreased for the year ended December 31, 2020 compared to the year ended December 31, 2019 due to a combination of lower joint tariff volumes from the Permian Basin via our Cactus I pipeline, and to a lesser extent, lower regional receipts. Similar to some shippers in the Permian Basin region, certain shippers on the Eagle Ford pipeline have under-delivered relative to their minimum volume commitments and the earnings related to these volume shortfalls will not be recognized until future periods. Such deficiencies are reflected as an “Adjustment” in the table above as discussed further below under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w:t>
      </w:r>
      <w:r>
        <w:rPr>
          <w:rFonts w:ascii="Arial" w:cs="Arial" w:eastAsia="Arial" w:hAnsi="Arial"/>
          <w:sz w:val="18"/>
          <w:szCs w:val="18"/>
          <w:i w:val="1"/>
          <w:iCs w:val="1"/>
          <w:color w:val="auto"/>
        </w:rPr>
        <w:t>Deficiencies under minimum volume commitments, net.</w:t>
      </w:r>
      <w:r>
        <w:rPr>
          <w:rFonts w:ascii="Arial" w:cs="Arial" w:eastAsia="Arial" w:hAnsi="Arial"/>
          <w:sz w:val="18"/>
          <w:szCs w:val="18"/>
          <w:color w:val="auto"/>
        </w:rPr>
        <w:t>”</w:t>
      </w:r>
    </w:p>
    <w:p>
      <w:pPr>
        <w:spacing w:after="0" w:line="219" w:lineRule="exact"/>
        <w:rPr>
          <w:rFonts w:ascii="Arial" w:cs="Arial" w:eastAsia="Arial" w:hAnsi="Arial"/>
          <w:sz w:val="18"/>
          <w:szCs w:val="18"/>
          <w:i w:val="1"/>
          <w:iCs w:val="1"/>
          <w:color w:val="auto"/>
        </w:rPr>
      </w:pPr>
    </w:p>
    <w:p>
      <w:pPr>
        <w:ind w:left="980" w:right="180" w:hanging="324"/>
        <w:spacing w:after="0" w:line="263" w:lineRule="auto"/>
        <w:tabs>
          <w:tab w:leader="none" w:pos="97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net revenues for the year ended December 31, 2020 compared to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crude oil production in the region. This is also a region with a meaningful amount of excess pipeline capacity, which exacerbates the impact to our assets in this region.</w:t>
      </w:r>
    </w:p>
    <w:p>
      <w:pPr>
        <w:spacing w:after="0" w:line="210" w:lineRule="exact"/>
        <w:rPr>
          <w:rFonts w:ascii="Arial" w:cs="Arial" w:eastAsia="Arial" w:hAnsi="Arial"/>
          <w:sz w:val="18"/>
          <w:szCs w:val="18"/>
          <w:i w:val="1"/>
          <w:iCs w:val="1"/>
          <w:color w:val="auto"/>
        </w:rPr>
      </w:pPr>
    </w:p>
    <w:p>
      <w:pPr>
        <w:ind w:left="980" w:right="16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decrease in equity earnings for the year ended December 31, 2020 compared to the year ended December 31, 2019 was primarily due to the impact of refinery downtime on certain of the demand pull pipelines out of Cushing, Oklahoma, in which we own a 50% interest.</w:t>
      </w:r>
    </w:p>
    <w:p>
      <w:pPr>
        <w:spacing w:after="0" w:line="150" w:lineRule="exact"/>
        <w:rPr>
          <w:rFonts w:ascii="Arial" w:cs="Arial" w:eastAsia="Arial" w:hAnsi="Arial"/>
          <w:sz w:val="18"/>
          <w:szCs w:val="18"/>
          <w:i w:val="1"/>
          <w:iCs w:val="1"/>
          <w:color w:val="auto"/>
        </w:rPr>
      </w:pPr>
    </w:p>
    <w:p>
      <w:pPr>
        <w:ind w:left="980" w:right="300" w:hanging="324"/>
        <w:spacing w:after="0" w:line="286" w:lineRule="auto"/>
        <w:tabs>
          <w:tab w:leader="none" w:pos="975"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Rocky Mountain region. </w:t>
      </w:r>
      <w:r>
        <w:rPr>
          <w:rFonts w:ascii="Arial" w:cs="Arial" w:eastAsia="Arial" w:hAnsi="Arial"/>
          <w:sz w:val="17"/>
          <w:szCs w:val="17"/>
          <w:color w:val="auto"/>
        </w:rPr>
        <w:t>Equity earnings decreased for the year ended December 31, 2020 compared to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 combination of (i) lower crude oil volumes, partially offset by higher NGL volumes, (ii) lower tariff rates due to the expiration of certain long-term contracts and (iii) the sale of 25% of our interest in Saddlehorn in February 2020.</w:t>
      </w:r>
    </w:p>
    <w:p>
      <w:pPr>
        <w:spacing w:after="0" w:line="192" w:lineRule="exact"/>
        <w:rPr>
          <w:rFonts w:ascii="Arial" w:cs="Arial" w:eastAsia="Arial" w:hAnsi="Arial"/>
          <w:sz w:val="17"/>
          <w:szCs w:val="17"/>
          <w:i w:val="1"/>
          <w:iCs w:val="1"/>
          <w:color w:val="auto"/>
        </w:rPr>
      </w:pPr>
    </w:p>
    <w:p>
      <w:pPr>
        <w:ind w:left="980" w:right="66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decrease in revenues for the year ended December 31, 2020 compared to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decreased crude oil production in the areas serviced by our pipelines.</w:t>
      </w:r>
    </w:p>
    <w:p>
      <w:pPr>
        <w:spacing w:after="0" w:line="197" w:lineRule="exact"/>
        <w:rPr>
          <w:rFonts w:ascii="Arial" w:cs="Arial" w:eastAsia="Arial" w:hAnsi="Arial"/>
          <w:sz w:val="18"/>
          <w:szCs w:val="18"/>
          <w:color w:val="auto"/>
        </w:rPr>
      </w:pPr>
    </w:p>
    <w:p>
      <w:pPr>
        <w:ind w:left="980" w:right="60" w:hanging="324"/>
        <w:spacing w:after="0" w:line="275" w:lineRule="auto"/>
        <w:tabs>
          <w:tab w:leader="none" w:pos="975"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regions, NGL pipelines, trucking and pipeline loss allowance revenue. </w:t>
      </w:r>
      <w:r>
        <w:rPr>
          <w:rFonts w:ascii="Arial" w:cs="Arial" w:eastAsia="Arial" w:hAnsi="Arial"/>
          <w:sz w:val="17"/>
          <w:szCs w:val="17"/>
          <w:color w:val="auto"/>
        </w:rPr>
        <w:t>The decrease in other net revenues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compared to the year ended December 31, 2019 was primarily due to lower pipeline loss allowance revenue due to a combination of both lower prices and volumes in 2020. To a lesser extent, lower net revenues from our trucking activities due to less favorable market conditions in 2020 contributed to the decrease. Additionally, volumes in our Gulf Coast region were impacted by a decrease in throughput on a lower tariff pipeline, which did not result in a significant impact on revenue.</w:t>
      </w:r>
    </w:p>
    <w:p>
      <w:pPr>
        <w:spacing w:after="0" w:line="20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year ended December 31, 2020, amounts billed to counterparties exceeded revenue recognized during the period that was previously deferred. For the year ended December 31, 2019, the recognition of previously deferred revenue exceeded amounts billed to counterparties associated with deficiencies under minimum volume commitments.</w:t>
      </w:r>
    </w:p>
    <w:p>
      <w:pPr>
        <w:spacing w:after="0" w:line="21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year ended December 31, 2020 compared to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was primarily due to (i) a decrease in variable costs due to lower volumes, (ii) a decrease of maintenance activities, primarily due to timing changes,</w:t>
      </w:r>
    </w:p>
    <w:p>
      <w:pPr>
        <w:ind w:firstLine="8"/>
        <w:spacing w:after="0" w:line="271" w:lineRule="auto"/>
        <w:tabs>
          <w:tab w:leader="none" w:pos="3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lower equity-based compensation costs on liability-classified awards (which are not included as an “Adjustment” in the table above) due to a decrease in our common unit price, (iv) reductions in compensation costs, primarily due to the benefit of wage subsidies received by our Canadian subsidiary and (v) additional estimated costs recognized in 2019 associated with the Line 901 incident (which impact field operating costs but are excluded from Segment Adjusted EBITDA and thus are reflected as an “Adjustment” in the table above). Such favorable impacts were partially offset by higher property taxes attributable to assets placed in service in 2020 and increased property valuations.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decrease in segment general and administrative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the year ended December 31, 2019 was primarily due to (i) lower equity-based compensation costs on liability-classified awards (which are not included as an “Adjustment” in the table above), due to a decrease in our common unit price, (ii) decreased travel and entertainment costs and (iii) the benefit of wage subsidies received by our Canadian subsidiary. Such items were partially offset by an overall increase in compensation costs related to severance costs associated with our efforts to streamline our organization.</w:t>
      </w:r>
    </w:p>
    <w:p>
      <w:pPr>
        <w:spacing w:after="0" w:line="20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for the year ended December 31, 2020 compared to the year ended December 31, 2019 was due to timing changes, the completion of multi-year reliability improvement programs and application of updated regulatory guidance, among other factors.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5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240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7"/>
                <w:szCs w:val="17"/>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00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60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4"/>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Gains from derivative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gridSpan w:val="4"/>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555"/>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9"/>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(5)</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gridSpan w:val="4"/>
          </w:tcPr>
          <w:p>
            <w:pPr>
              <w:ind w:left="40"/>
              <w:spacing w:after="0" w:line="203" w:lineRule="exact"/>
              <w:rPr>
                <w:sz w:val="20"/>
                <w:szCs w:val="20"/>
                <w:color w:val="auto"/>
              </w:rPr>
            </w:pPr>
            <w:r>
              <w:rPr>
                <w:rFonts w:ascii="Arial" w:cs="Arial" w:eastAsia="Arial" w:hAnsi="Arial"/>
                <w:sz w:val="18"/>
                <w:szCs w:val="18"/>
                <w:color w:val="auto"/>
                <w:w w:val="94"/>
              </w:rPr>
              <w:t>Natural gas storage (average monthly working capacity in billions of cubic feet)</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63</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ind w:left="40"/>
              <w:spacing w:after="0" w:line="163"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9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(6)</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83"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Index to Financial Statements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0" w:right="380" w:hanging="11"/>
        <w:spacing w:after="0" w:line="263" w:lineRule="auto"/>
        <w:rPr>
          <w:sz w:val="20"/>
          <w:szCs w:val="20"/>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year divided by the number of months in the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100" w:hanging="11"/>
        <w:spacing w:after="0" w:line="291" w:lineRule="auto"/>
        <w:rPr>
          <w:sz w:val="20"/>
          <w:szCs w:val="20"/>
          <w:color w:val="auto"/>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460" w:hanging="4"/>
        <w:spacing w:after="0" w:line="523"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year and divided by the number of months in the year. The following is a discussion of items impacting Facilities segment operating results.</w:t>
      </w:r>
    </w:p>
    <w:p>
      <w:pPr>
        <w:spacing w:after="0" w:line="2"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the following:</w:t>
      </w:r>
    </w:p>
    <w:p>
      <w:pPr>
        <w:spacing w:after="0" w:line="197" w:lineRule="exact"/>
        <w:rPr>
          <w:sz w:val="20"/>
          <w:szCs w:val="20"/>
          <w:color w:val="auto"/>
        </w:rPr>
      </w:pPr>
    </w:p>
    <w:p>
      <w:pPr>
        <w:ind w:left="660" w:right="1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from our rail terminals decreased by $33 million for the year ended December 31, 2020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primarily due to decreased activity at certain of our rail terminals resulting from less favorable market conditions, as well as lower volumes due to voluntary shut-ins and curtailments of crude oil production by producers.</w:t>
      </w:r>
    </w:p>
    <w:p>
      <w:pPr>
        <w:spacing w:after="0" w:line="210"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decreased by $21 million for the year ended December 31, 2020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primarily due to the sale of certain NGL terminals in the fourth quarter of 2019 and the second quarter of 2020, net unfavorable foreign exchange impacts of approximately $4 million and lower revenues from our NGL processing facilities. Such unfavorable impacts were partially offset by the favorable impact of the receipt of a deficiency payment in 2020 of approximately $20 million upon the expiration of a multi-year contract.</w:t>
      </w:r>
    </w:p>
    <w:p>
      <w:pPr>
        <w:spacing w:after="0" w:line="214" w:lineRule="exact"/>
        <w:rPr>
          <w:rFonts w:ascii="Arial" w:cs="Arial" w:eastAsia="Arial" w:hAnsi="Arial"/>
          <w:sz w:val="18"/>
          <w:szCs w:val="18"/>
          <w:i w:val="1"/>
          <w:iCs w:val="1"/>
          <w:color w:val="auto"/>
        </w:rPr>
      </w:pPr>
    </w:p>
    <w:p>
      <w:pPr>
        <w:ind w:left="660" w:right="120" w:hanging="328"/>
        <w:spacing w:after="0" w:line="286" w:lineRule="auto"/>
        <w:tabs>
          <w:tab w:leader="none" w:pos="655"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Natural Gas and Condensate Processing. </w:t>
      </w:r>
      <w:r>
        <w:rPr>
          <w:rFonts w:ascii="Arial" w:cs="Arial" w:eastAsia="Arial" w:hAnsi="Arial"/>
          <w:sz w:val="17"/>
          <w:szCs w:val="17"/>
          <w:color w:val="auto"/>
        </w:rPr>
        <w:t>Net revenues from our U.S. natural gas and condensate processing operations decreased by $11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2020 compared to the year ended December 31, 2019 primarily due to the unfavorable impact of a $5 million payment to resolve a contractual dispute as well as a decrease in condensate processing volumes and rates.</w:t>
      </w:r>
    </w:p>
    <w:p>
      <w:pPr>
        <w:spacing w:after="0" w:line="192" w:lineRule="exact"/>
        <w:rPr>
          <w:rFonts w:ascii="Arial" w:cs="Arial" w:eastAsia="Arial" w:hAnsi="Arial"/>
          <w:sz w:val="17"/>
          <w:szCs w:val="17"/>
          <w:i w:val="1"/>
          <w:iCs w:val="1"/>
          <w:color w:val="auto"/>
        </w:rPr>
      </w:pPr>
    </w:p>
    <w:p>
      <w:pPr>
        <w:ind w:left="660" w:right="180" w:hanging="328"/>
        <w:spacing w:after="0" w:line="275" w:lineRule="auto"/>
        <w:tabs>
          <w:tab w:leader="none" w:pos="655"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Crude Oil Storage. </w:t>
      </w:r>
      <w:r>
        <w:rPr>
          <w:rFonts w:ascii="Arial" w:cs="Arial" w:eastAsia="Arial" w:hAnsi="Arial"/>
          <w:sz w:val="17"/>
          <w:szCs w:val="17"/>
          <w:color w:val="auto"/>
        </w:rPr>
        <w:t>Revenues from our crude oil storage operations increased by $33 million for the year ended December 31,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2019, primarily due to the addition of an aggregate of approximately 3 million barrels of storage capacity at our Cushing, Oklahoma, St. James, Louisiana and Midland, Texas terminals and increased activity at certain of our Mid-Continent terminals. Additionally, the unfavorable impact on revenues from the sale of our Los Angeles Basin terminals in October 2020 was largely offset by increased spot activity at certain of these terminals during the first three quarters of 2020.</w:t>
      </w:r>
    </w:p>
    <w:p>
      <w:pPr>
        <w:spacing w:after="0" w:line="203" w:lineRule="exact"/>
        <w:rPr>
          <w:rFonts w:ascii="Arial" w:cs="Arial" w:eastAsia="Arial" w:hAnsi="Arial"/>
          <w:sz w:val="17"/>
          <w:szCs w:val="17"/>
          <w:i w:val="1"/>
          <w:iCs w:val="1"/>
          <w:color w:val="auto"/>
        </w:rPr>
      </w:pPr>
    </w:p>
    <w:p>
      <w:pPr>
        <w:ind w:left="660" w:right="20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The increase in equity earnings over the comparative period was from our 50% interest in Eagle Ford Terminals, which owns a crude oil storage facility in Corpus Christi, Texas that was placed in service in September of 2019.</w:t>
      </w:r>
    </w:p>
    <w:p>
      <w:pPr>
        <w:spacing w:after="0" w:line="19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for the year ended December 31, 2020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was primarily due to (i) lower maintenance activities due to timing changes, (ii) reduced activity at our rail terminals and the divestiture of certain NGL terminals, (iii) reductions in compensation costs including the benefit of wage subsidies received by our Canadian subsidiary and (iv) lower property taxes. Such favorable impacts were partially offset by lower mark-to-market gains in the current period on fuel hedges (which impacts field operating costs but are excluded from Segment Adjusted EBITDA and thus are reflected as an “Adjustment” in the table above).</w:t>
      </w:r>
    </w:p>
    <w:p>
      <w:pPr>
        <w:spacing w:after="0" w:line="20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year ended December 31, 2020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was primarily due to timing changes, the impact of asset sales,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2400" w:type="dxa"/>
            <w:vAlign w:val="bottom"/>
            <w:gridSpan w:val="8"/>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7"/>
                <w:szCs w:val="17"/>
                <w:color w:val="auto"/>
              </w:rPr>
            </w:pPr>
          </w:p>
        </w:tc>
      </w:tr>
      <w:tr>
        <w:trPr>
          <w:trHeight w:val="195"/>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24"/>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98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5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598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Losses from derivative activities net of inventory valuation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(gain)/loss on foreign currency revaluation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59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18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w:t>
            </w:r>
          </w:p>
        </w:tc>
      </w:tr>
      <w:tr>
        <w:trPr>
          <w:trHeight w:val="588"/>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260" w:type="dxa"/>
            <w:vAlign w:val="bottom"/>
          </w:tcPr>
          <w:p>
            <w:pPr>
              <w:spacing w:after="0"/>
              <w:rPr>
                <w:sz w:val="24"/>
                <w:szCs w:val="24"/>
                <w:color w:val="auto"/>
              </w:rPr>
            </w:pPr>
          </w:p>
        </w:tc>
        <w:tc>
          <w:tcPr>
            <w:tcW w:w="240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24"/>
                <w:szCs w:val="24"/>
                <w:color w:val="auto"/>
              </w:rPr>
            </w:pPr>
          </w:p>
        </w:tc>
      </w:tr>
      <w:tr>
        <w:trPr>
          <w:trHeight w:val="195"/>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Volume</w:t>
            </w:r>
          </w:p>
        </w:tc>
        <w:tc>
          <w:tcPr>
            <w:tcW w:w="8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24"/>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59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Supply and Logistics segment total volumes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ectPr>
          <w:pgSz w:w="11900" w:h="16838" w:orient="portrait"/>
          <w:cols w:equalWidth="0" w:num="1">
            <w:col w:w="11240"/>
          </w:cols>
          <w:pgMar w:left="320" w:top="130"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ind w:left="20" w:right="380" w:hanging="11"/>
        <w:spacing w:after="0" w:line="263" w:lineRule="auto"/>
        <w:rPr>
          <w:sz w:val="20"/>
          <w:szCs w:val="20"/>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6"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left="660" w:right="480" w:hanging="652"/>
        <w:spacing w:after="0" w:line="227"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range of the NYMEX West Texas Intermediate (“WTI”) benchmark price of crude oil (in dollars per barrel):</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NYMEX WTI</w:t>
            </w:r>
          </w:p>
        </w:tc>
        <w:tc>
          <w:tcPr>
            <w:tcW w:w="940" w:type="dxa"/>
            <w:vAlign w:val="bottom"/>
          </w:tcPr>
          <w:p>
            <w:pPr>
              <w:spacing w:after="0"/>
              <w:rPr>
                <w:sz w:val="14"/>
                <w:szCs w:val="14"/>
                <w:color w:val="auto"/>
              </w:rPr>
            </w:pPr>
          </w:p>
        </w:tc>
      </w:t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40" w:type="dxa"/>
            <w:vAlign w:val="bottom"/>
            <w:tcBorders>
              <w:bottom w:val="single" w:sz="8" w:color="auto"/>
            </w:tcBorders>
          </w:tcPr>
          <w:p>
            <w:pPr>
              <w:spacing w:after="0"/>
              <w:rPr>
                <w:sz w:val="16"/>
                <w:szCs w:val="16"/>
                <w:color w:val="auto"/>
              </w:rPr>
            </w:pPr>
          </w:p>
        </w:tc>
      </w:tr>
      <w:tr>
        <w:trPr>
          <w:trHeight w:val="184"/>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During the Year Ended December 31,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33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98"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9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210" w:lineRule="exact"/>
        <w:rPr>
          <w:sz w:val="20"/>
          <w:szCs w:val="20"/>
          <w:color w:val="auto"/>
        </w:rPr>
      </w:pPr>
    </w:p>
    <w:p>
      <w:pPr>
        <w:ind w:left="660" w:right="100" w:hanging="328"/>
        <w:spacing w:after="0" w:line="25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operations decreased for year ended December 31, 2020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primarily due to a combination of (i) less favorable crude oil differentials, particularly the differential between the value of crude oil in the Permian Basin compared to the Gulf Coast market and (ii) the impact of lower volumes in higher margin areas, partially offset by volume increases in lower margin areas. Such unfavorable impacts were partially offset by the favorable impact of contango market conditions during the last three quarters of 2020.</w:t>
      </w:r>
    </w:p>
    <w:p>
      <w:pPr>
        <w:spacing w:after="0" w:line="21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decreased for the year ended December 31, 2020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primarily due to (i) warmer weather during the fourth quarter of 2020, (ii) weaker fractionation spreads between the price of natural gas and the extracted NGL, (iii) lower border flows through our straddle plants and (iv) the absence of the favorable impact from certain non-recurring items recorded in the second quarter of 2019.</w:t>
      </w:r>
    </w:p>
    <w:p>
      <w:pPr>
        <w:spacing w:after="0" w:line="213" w:lineRule="exact"/>
        <w:rPr>
          <w:rFonts w:ascii="Arial" w:cs="Arial" w:eastAsia="Arial" w:hAnsi="Arial"/>
          <w:sz w:val="18"/>
          <w:szCs w:val="18"/>
          <w:color w:val="auto"/>
        </w:rPr>
      </w:pPr>
    </w:p>
    <w:p>
      <w:pPr>
        <w:ind w:left="660" w:right="120" w:hanging="328"/>
        <w:spacing w:after="0" w:line="273"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Impact from Certain Derivative Activities, Net of Inventory Valuation Adjustments. </w:t>
      </w:r>
      <w:r>
        <w:rPr>
          <w:rFonts w:ascii="Arial" w:cs="Arial" w:eastAsia="Arial" w:hAnsi="Arial"/>
          <w:sz w:val="17"/>
          <w:szCs w:val="17"/>
          <w:color w:val="auto"/>
        </w:rPr>
        <w:t>The impact from certain derivative activities on our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4" w:lineRule="exact"/>
        <w:rPr>
          <w:rFonts w:ascii="Arial" w:cs="Arial" w:eastAsia="Arial" w:hAnsi="Arial"/>
          <w:sz w:val="17"/>
          <w:szCs w:val="17"/>
          <w:color w:val="auto"/>
        </w:rPr>
      </w:pPr>
    </w:p>
    <w:p>
      <w:pPr>
        <w:ind w:left="660" w:right="140" w:hanging="328"/>
        <w:spacing w:after="0" w:line="255"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660" w:right="120" w:hanging="328"/>
        <w:spacing w:after="0" w:line="286"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660" w:right="200" w:hanging="328"/>
        <w:spacing w:after="0" w:line="263" w:lineRule="auto"/>
        <w:tabs>
          <w:tab w:leader="none" w:pos="655"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year ended December 31, 2020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was primarily driven by a decrease in long-haul third-party trucking costs and a decrease in company personnel and truck costs as more of our supply was connected to pipelines and taken off trucks.</w:t>
      </w:r>
    </w:p>
    <w:p>
      <w:pPr>
        <w:spacing w:after="0" w:line="210" w:lineRule="exact"/>
        <w:rPr>
          <w:rFonts w:ascii="Arial" w:cs="Arial" w:eastAsia="Arial" w:hAnsi="Arial"/>
          <w:sz w:val="18"/>
          <w:szCs w:val="18"/>
          <w:i w:val="1"/>
          <w:iCs w:val="1"/>
          <w:color w:val="auto"/>
        </w:rPr>
      </w:pPr>
    </w:p>
    <w:p>
      <w:pPr>
        <w:ind w:left="660" w:hanging="328"/>
        <w:spacing w:after="0" w:line="275"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decrease in segment general and administrative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the year ended December 31, 2019 was primarily driven by (i) lower compensation costs including the benefit of wage subsidies received by our Canadian subsidiary, (ii) decreased travel and entertainment costs, (iii) a decrease in equity-based compensation costs on liability-classified awards (which are not included as an “Adjustment” in the table above) due to a decrease in our common unit price and (iv) general cost reductions associated with exiting low margin, high administrative cost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Depreciation and amortization expense increased for the year ended December 31, 2020 compared to the year ended December 31, 2019 largely driven by additional depreciation expense associated with acquired assets, the completion of various investment capital projects and a reduction in the useful lives of certain assets.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net loss on asset sales and asset impairments for the year ended December 31, 2020 included (i) non-cash impairment losses on held and used assets of approximately $541 million related to the write-down of (a)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(b) idled or underutilized assets for which is it has been determined that it is unlikely that opportunities will exist in the future to recover our investment in these assets and (ii) net losses of approximately $178 million related to the sale of assets, including non-cash impairments recognized upon classification to assets held for sale.</w:t>
      </w:r>
    </w:p>
    <w:p>
      <w:pPr>
        <w:spacing w:after="0" w:line="19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net loss on asset sales and asset impairments for the year ended December 31, 2019 was largely driven by a loss on the sale of a storage terminal in North Dakota. See Note 6 and Note 7 to our Consolidated Financial Statements for additional information regarding these asset impairments.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8 to our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5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During the year ended December 31, 2020, we recognized losses of $202 million related to the write-down of certain of our investments in unconsolidated entities. Additionally, we recognized a gain of $21 million related to our sale of a 10% interest in Saddlehorn Pipeline Company, LLC.</w:t>
      </w:r>
    </w:p>
    <w:p>
      <w:pPr>
        <w:spacing w:after="0" w:line="15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During the year ended December 31, 2019, we recognized a non-cash gain of $269 million related to a fair value adjustment resulting from the accounting for the contribution of our undivided joint interest in the Capline pipeline system for an equity interest in Capline Pipeline Company LLC. See Note 9 to our Consolidated Financial Statements for additional information regarding our unconsolidated entities.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52"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Average</w:t>
            </w:r>
          </w:p>
        </w:tc>
        <w:tc>
          <w:tcPr>
            <w:tcW w:w="1640" w:type="dxa"/>
            <w:vAlign w:val="bottom"/>
          </w:tcPr>
          <w:p>
            <w:pPr>
              <w:jc w:val="right"/>
              <w:ind w:right="17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79"/>
              <w:spacing w:after="0" w:line="189" w:lineRule="exact"/>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5"/>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for the year ended December 31, 2019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Impact of lower capitalized interest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borrowings under credit facilities and PAA commercial paper program</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Impact of issuance and retirement of PAA senior notes</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Interest expense for the year ended December 31,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Excludes commitment and other fees.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Interest expense increased for the year ended December 31, 2020 compared to the year ended December 31, 2019 primarily due to (i) a higher weighted average debt balance during 2020 driven by higher commercial paper and credit facility borrowings and (ii) lower capitalized interest in the 2020 period resulting from fewer capital projects under construction, partially offset by (iii) the impact from lower weighted average rates.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Consolidated Financial Statements for additional information regarding our debt activities during the periods presented.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4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Gain related to mark-to-market adjustment of our Preferred Distribution Rate Reset Option </w:t>
            </w:r>
            <w:r>
              <w:rPr>
                <w:rFonts w:ascii="Arial" w:cs="Arial" w:eastAsia="Arial" w:hAnsi="Arial"/>
                <w:sz w:val="23"/>
                <w:szCs w:val="23"/>
                <w:color w:val="auto"/>
                <w:vertAlign w:val="superscript"/>
              </w:rPr>
              <w:t>(1)</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46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See Note 13 to our Consolidated Financial Statements for additional information.</w:t>
      </w:r>
    </w:p>
    <w:p>
      <w:pPr>
        <w:spacing w:after="0" w:line="93" w:lineRule="exact"/>
        <w:rPr>
          <w:rFonts w:ascii="Arial" w:cs="Arial" w:eastAsia="Arial" w:hAnsi="Arial"/>
          <w:sz w:val="23"/>
          <w:szCs w:val="23"/>
          <w:color w:val="auto"/>
          <w:vertAlign w:val="superscript"/>
        </w:rPr>
      </w:pPr>
    </w:p>
    <w:p>
      <w:pPr>
        <w:ind w:left="660" w:right="1000" w:hanging="652"/>
        <w:spacing w:after="0" w:line="227" w:lineRule="auto"/>
        <w:tabs>
          <w:tab w:leader="none" w:pos="648"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The activity during 2020 was primarily related to the impact from the change in the USD to CAD exchange rate on the portion of our intercompany net investment that is not long-term in nature.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ind w:left="8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ind w:left="80"/>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Income Tax (Expense)/Benefit</w:t>
      </w:r>
    </w:p>
    <w:p>
      <w:pPr>
        <w:spacing w:after="0" w:line="256" w:lineRule="exact"/>
        <w:rPr>
          <w:sz w:val="20"/>
          <w:szCs w:val="20"/>
          <w:color w:val="auto"/>
        </w:rPr>
      </w:pPr>
    </w:p>
    <w:p>
      <w:pPr>
        <w:ind w:left="80" w:right="20" w:firstLine="648"/>
        <w:spacing w:after="0" w:line="255" w:lineRule="auto"/>
        <w:rPr>
          <w:sz w:val="20"/>
          <w:szCs w:val="20"/>
          <w:color w:val="auto"/>
        </w:rPr>
      </w:pPr>
      <w:r>
        <w:rPr>
          <w:rFonts w:ascii="Arial" w:cs="Arial" w:eastAsia="Arial" w:hAnsi="Arial"/>
          <w:sz w:val="18"/>
          <w:szCs w:val="18"/>
          <w:color w:val="auto"/>
        </w:rPr>
        <w:t>The decrease in current income tax expense for the year ended December 31, 2020 compared to the year ended December 31, 2019 was primarily due to lower taxable earnings from our Canadian operations. The increase in the deferred income tax benefit for the year ended December 31, 2020 compared to the year ended December 31, 2019 was primarily due to (i) the impact of lower earnings at PAA on income attributable to PAGP and (ii) lower year-over-year income as impacted by fluctuations in the derivative mark-to-market valuations in our Canadian operations, partially offset by the recognition of a deferred tax benefit of approximately $60 million during the second quarter of 2019 as a result of the reduction of the provincial tax rate in Alberta, Canada.</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left="80" w:firstLine="648"/>
        <w:spacing w:after="0" w:line="269" w:lineRule="auto"/>
        <w:rPr>
          <w:sz w:val="20"/>
          <w:szCs w:val="20"/>
          <w:color w:val="auto"/>
        </w:rPr>
      </w:pPr>
      <w:r>
        <w:rPr>
          <w:rFonts w:ascii="Arial" w:cs="Arial" w:eastAsia="Arial" w:hAnsi="Arial"/>
          <w:sz w:val="17"/>
          <w:szCs w:val="17"/>
          <w:color w:val="auto"/>
        </w:rPr>
        <w:t>Our primary sources of liquidity are (i) cash flow from operating activities (ii) borrowings under PAA’s credit facilities or commercial paper program and (iii) funds received from sales of equity and debt securities. In addition, we may supplement these sources of liquidity with proceeds from our divestiture program.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commercial paper program or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12" w:lineRule="exact"/>
        <w:rPr>
          <w:sz w:val="20"/>
          <w:szCs w:val="20"/>
          <w:color w:val="auto"/>
        </w:rPr>
      </w:pPr>
    </w:p>
    <w:p>
      <w:pPr>
        <w:ind w:left="80" w:right="200" w:firstLine="648"/>
        <w:spacing w:after="0" w:line="284" w:lineRule="auto"/>
        <w:rPr>
          <w:sz w:val="20"/>
          <w:szCs w:val="20"/>
          <w:color w:val="auto"/>
        </w:rPr>
      </w:pPr>
      <w:r>
        <w:rPr>
          <w:rFonts w:ascii="Arial" w:cs="Arial" w:eastAsia="Arial" w:hAnsi="Arial"/>
          <w:sz w:val="17"/>
          <w:szCs w:val="17"/>
          <w:color w:val="auto"/>
        </w:rPr>
        <w:t>As of December 31, 2020, although we had a working capital deficit of $587 million, we had approximately $2.2 billion of liquidity available to meet our ongoing operating, investing and financing needs, subject to continued covenant compliance, as noted below (in millions):</w:t>
      </w:r>
    </w:p>
    <w:p>
      <w:pPr>
        <w:sectPr>
          <w:pgSz w:w="11900" w:h="16838" w:orient="portrait"/>
          <w:cols w:equalWidth="0" w:num="1">
            <w:col w:w="11320"/>
          </w:cols>
          <w:pgMar w:left="240" w:top="130" w:right="339" w:bottom="1440" w:gutter="0" w:footer="0" w:header="0"/>
        </w:sect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Availability under PAA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-149860</wp:posOffset>
            </wp:positionV>
            <wp:extent cx="7046595"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46595"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 xml:space="preserve">Availability under PAA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-1905</wp:posOffset>
            </wp:positionV>
            <wp:extent cx="704659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46595"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Amounts outstanding under PAA commercial paper program</w:t>
      </w:r>
    </w:p>
    <w:p>
      <w:pPr>
        <w:spacing w:after="0" w:line="20" w:lineRule="exact"/>
        <w:rPr>
          <w:sz w:val="20"/>
          <w:szCs w:val="20"/>
          <w:color w:val="auto"/>
        </w:rPr>
      </w:pPr>
      <w:r>
        <w:rPr>
          <w:sz w:val="20"/>
          <w:szCs w:val="20"/>
          <w:color w:val="auto"/>
        </w:rPr>
        <w:br w:type="column"/>
      </w:r>
    </w:p>
    <w:p>
      <w:pPr>
        <w:jc w:val="center"/>
        <w:ind w:right="156"/>
        <w:spacing w:after="0" w:line="227" w:lineRule="auto"/>
        <w:rPr>
          <w:sz w:val="20"/>
          <w:szCs w:val="20"/>
          <w:color w:val="auto"/>
        </w:rPr>
      </w:pPr>
      <w:r>
        <w:rPr>
          <w:rFonts w:ascii="Arial" w:cs="Arial" w:eastAsia="Arial" w:hAnsi="Arial"/>
          <w:sz w:val="14"/>
          <w:szCs w:val="14"/>
          <w:b w:val="1"/>
          <w:bCs w:val="1"/>
          <w:color w:val="auto"/>
        </w:rPr>
        <w:t>As of</w:t>
      </w:r>
    </w:p>
    <w:p>
      <w:pPr>
        <w:jc w:val="center"/>
        <w:ind w:right="156"/>
        <w:spacing w:after="0"/>
        <w:rPr>
          <w:sz w:val="20"/>
          <w:szCs w:val="20"/>
          <w:color w:val="auto"/>
        </w:rPr>
      </w:pPr>
      <w:r>
        <w:rPr>
          <w:rFonts w:ascii="Arial" w:cs="Arial" w:eastAsia="Arial" w:hAnsi="Arial"/>
          <w:sz w:val="14"/>
          <w:szCs w:val="14"/>
          <w:b w:val="1"/>
          <w:bCs w:val="1"/>
          <w:color w:val="auto"/>
        </w:rPr>
        <w:t>December 31, 2020</w:t>
      </w:r>
    </w:p>
    <w:p>
      <w:pPr>
        <w:spacing w:after="0" w:line="34" w:lineRule="exact"/>
        <w:rPr>
          <w:sz w:val="20"/>
          <w:szCs w:val="20"/>
          <w:color w:val="auto"/>
        </w:rPr>
      </w:pPr>
    </w:p>
    <w:p>
      <w:pPr>
        <w:ind w:left="1144" w:hanging="1144"/>
        <w:spacing w:after="0"/>
        <w:tabs>
          <w:tab w:leader="none" w:pos="11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1,507</w:t>
      </w:r>
    </w:p>
    <w:p>
      <w:pPr>
        <w:spacing w:after="0" w:line="23"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1,197</w:t>
      </w:r>
    </w:p>
    <w:p>
      <w:pPr>
        <w:spacing w:after="0" w:line="22"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7"/>
          <w:szCs w:val="17"/>
          <w:color w:val="auto"/>
        </w:rPr>
        <w:t>(547)</w:t>
      </w:r>
    </w:p>
    <w:p>
      <w:pPr>
        <w:spacing w:after="0" w:line="33" w:lineRule="exact"/>
        <w:rPr>
          <w:sz w:val="20"/>
          <w:szCs w:val="20"/>
          <w:color w:val="auto"/>
        </w:rPr>
      </w:pPr>
    </w:p>
    <w:p>
      <w:pPr>
        <w:sectPr>
          <w:pgSz w:w="11900" w:h="16838" w:orient="portrait"/>
          <w:cols w:equalWidth="0" w:num="2">
            <w:col w:w="8836" w:space="720"/>
            <w:col w:w="1764"/>
          </w:cols>
          <w:pgMar w:left="240" w:top="130" w:right="33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r>
      <w:tr>
        <w:trPr>
          <w:trHeight w:val="21"/>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274320</wp:posOffset>
            </wp:positionV>
            <wp:extent cx="24599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320"/>
          </w:cols>
          <w:pgMar w:left="240" w:top="130"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$93 million and $36 million, respectively.</w:t>
      </w:r>
    </w:p>
    <w:p>
      <w:pPr>
        <w:spacing w:after="0" w:line="200" w:lineRule="exact"/>
        <w:rPr>
          <w:sz w:val="20"/>
          <w:szCs w:val="20"/>
          <w:color w:val="auto"/>
        </w:rPr>
      </w:pPr>
    </w:p>
    <w:p>
      <w:pPr>
        <w:sectPr>
          <w:pgSz w:w="11900" w:h="16838" w:orient="portrait"/>
          <w:cols w:equalWidth="0" w:num="2">
            <w:col w:w="140" w:space="600"/>
            <w:col w:w="10580"/>
          </w:cols>
          <w:pgMar w:left="240" w:top="130" w:right="339" w:bottom="1440" w:gutter="0" w:footer="0" w:header="0"/>
          <w:type w:val="continuous"/>
        </w:sect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97790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30" w:right="3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 Risks Related to PAA’s Business—Loss of PAA’s investment grade credit rating or the ability to receive open credit could negatively affect its borrowing costs, ability to purchase crude oil, NGL and natural gas supplies or to capitalize on market opportunities.”</w:t>
      </w:r>
    </w:p>
    <w:p>
      <w:pPr>
        <w:spacing w:after="0" w:line="198"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however, extended disruptions in the financial markets and/or energy price volatility that adversely affect our business may have a materially adverse effect on our financial condition, results of operations or cash flows. See Item 1A. “Risk Factors” for further discussion regarding risks that may impact our liquidity and capital resources.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Agreements, Commercial Paper Program and Indentures</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PAA has three primary credit arrangements, which we use to meet our short-term cash needs. These include PAA’s $1.6 billion senior unsecured revolving credit facility maturing in 2024, $1.4 billion senior secured hedged inventory facility maturing in 2022 (excluding aggregate commitments of $45 million, which mature in 2021) and $3.0 billion unsecured commercial paper program that is backstopped by PAA’s revolving credit facility and its hedged inventory facility. Additionally, PAA has two $100 million term loans. The credit agreements for PAA’s revolving credit facilities (which impact PAA’s ability to access its commercial paper program because they provide the financial backstop that supports PAA’s short-term credit ratings) and PAA’s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1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93"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Net cash provided by operating activities for the years ended December 31, 2020, 2019 and 2018 was approximately $1.5 billion, $2.5 billion and $2.6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During 2020, we increased the volume of both our crude oil inventory to be stored during the contango market and our NGL inventory in anticipation of the 2020-2021 heating season as well as the margin balances required as part of our hedging activities, all of which was funded by short-term debt. The cash outflows associated with these activities were partially offset by lower prices for inventory purchased and stored at the end of the current period compared to the end of 2019. Cash provided by operating activities was favorably impacted by cash received for transactions for which the revenue has been deferred pending the completion of future performance obligations. See Note 3 to our Consolidated Financial Statements for additional information.</w:t>
      </w:r>
    </w:p>
    <w:p>
      <w:pPr>
        <w:spacing w:after="0" w:line="21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2019, our cash provided by operating activities was positively impacted by the proceeds from the sale of NGL and crude oil inventory that we held and also by the lower weighted average price of NGL inventory compared to prior year amounts.</w:t>
      </w:r>
    </w:p>
    <w:p>
      <w:pPr>
        <w:spacing w:after="0" w:line="19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During 2018, our cash provided by operating activities was favorably impacted by approximately $250 million of cash received for transactions for which the revenue has been deferred pending the completion of future performance obligations. The favorable impact was partially offset by an increase in the volume of crude oil inventory that we held, which was funded from earnings from our operations and proceeds from asset sales.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addition to our operating needs discussed above, we also use cash for our investment capital projects, maintenance capital activities and acquisition activities. Historically, we have financed these expenditures primarily with cash generated by operating activities discussed in “—Cash Flow from Operating Activities” above and the financing activities discussed in “—Financing Activities” below. In recent years, we have also used proceeds from our divestiture program, as discussed further below. We have made and will continue to make capital expenditures for investment capital projects, maintenance activities and acquisitions. However, in the near term, we do not plan to issue common equity to fund such activities.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investment capital and maintenance capital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29"/>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(4)</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r>
      <w:tr>
        <w:trPr>
          <w:trHeight w:val="21"/>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left="20"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“Investment capital” was previously termed “expansion capital.” We consider the term “investment capital” to be more descriptive.</w:t>
      </w:r>
    </w:p>
    <w:p>
      <w:pPr>
        <w:spacing w:after="0" w:line="117" w:lineRule="exact"/>
        <w:rPr>
          <w:sz w:val="20"/>
          <w:szCs w:val="20"/>
          <w:color w:val="auto"/>
        </w:rPr>
      </w:pPr>
    </w:p>
    <w:p>
      <w:pPr>
        <w:jc w:val="both"/>
        <w:ind w:left="20"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 capital for 2020 primarily includes a crude oil gathering system located in the Delaware Basin.</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 Capital Projects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investment capital programs consist of investments in midstream infrastructure projects that build upon our core assets and operations. For the years presented, substantially all of the investment capital was invested in our fee-based Transportation and Facilities segments.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3"/>
                <w:szCs w:val="23"/>
                <w:color w:val="auto"/>
                <w:vertAlign w:val="superscript"/>
              </w:rPr>
              <w:t>(1) (2)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Long-Haul Pipeline Projects (Non-Permian)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Selected Facilities/Downstream Projects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These projects will continue into 2021. See “—2021 Investment Capital Projects below.”</w:t>
      </w:r>
    </w:p>
    <w:p>
      <w:pPr>
        <w:spacing w:after="0" w:line="117"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Represents pipeline projects with takeaway capacity out of the Permian Basin, including (i) our 16% interest in Wink to Webster Pipeline and (ii) our 65% interest in the Cactus II Pipeline.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at our St. James and Cushing terminals.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52"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i w:val="1"/>
          <w:iCs w:val="1"/>
          <w:color w:val="auto"/>
        </w:rPr>
        <w:t xml:space="preserve">2021 Investment Capital Projects. </w:t>
      </w:r>
      <w:r>
        <w:rPr>
          <w:rFonts w:ascii="Arial" w:cs="Arial" w:eastAsia="Arial" w:hAnsi="Arial"/>
          <w:sz w:val="16"/>
          <w:szCs w:val="16"/>
          <w:color w:val="auto"/>
        </w:rPr>
        <w:t>In April 2020, in response to the current dynamic and uncertain market conditions, we announced our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reduce and continue to challenge our capital program. The majority of our 2021 investment capital program will be invested in our fee-based Transportation and Facilities segments. We expect that our investments will have minimal contributions to our 2021 results, but will provide growth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2022 and beyond. Our 2021 capital program includes the following projects as of February 2021 with the estimated cost for the entire year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Projects</w:t>
            </w:r>
          </w:p>
        </w:tc>
        <w:tc>
          <w:tcPr>
            <w:tcW w:w="500" w:type="dxa"/>
            <w:vAlign w:val="bottom"/>
          </w:tcPr>
          <w:p>
            <w:pPr>
              <w:spacing w:after="0"/>
              <w:rPr>
                <w:sz w:val="16"/>
                <w:szCs w:val="16"/>
                <w:color w:val="auto"/>
              </w:rPr>
            </w:pPr>
          </w:p>
        </w:tc>
        <w:tc>
          <w:tcPr>
            <w:tcW w:w="1540" w:type="dxa"/>
            <w:vAlign w:val="bottom"/>
          </w:tcPr>
          <w:p>
            <w:pPr>
              <w:jc w:val="right"/>
              <w:ind w:right="793"/>
              <w:spacing w:after="0"/>
              <w:rPr>
                <w:sz w:val="20"/>
                <w:szCs w:val="20"/>
                <w:color w:val="auto"/>
              </w:rPr>
            </w:pPr>
            <w:r>
              <w:rPr>
                <w:rFonts w:ascii="Arial" w:cs="Arial" w:eastAsia="Arial" w:hAnsi="Arial"/>
                <w:sz w:val="14"/>
                <w:szCs w:val="14"/>
                <w:b w:val="1"/>
                <w:bCs w:val="1"/>
                <w:color w:val="auto"/>
              </w:rPr>
              <w:t>2021</w:t>
            </w:r>
          </w:p>
        </w:tc>
      </w:tr>
      <w:tr>
        <w:trPr>
          <w:trHeight w:val="229"/>
        </w:trPr>
        <w:tc>
          <w:tcPr>
            <w:tcW w:w="9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Long-Haul Pipeline Projects (Non-Permian)</w:t>
            </w: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9160" w:type="dxa"/>
            <w:vAlign w:val="bottom"/>
            <w:gridSpan w:val="2"/>
          </w:tcPr>
          <w:p>
            <w:pPr>
              <w:ind w:left="140"/>
              <w:spacing w:after="0"/>
              <w:rPr>
                <w:sz w:val="20"/>
                <w:szCs w:val="20"/>
                <w:color w:val="auto"/>
              </w:rPr>
            </w:pPr>
            <w:r>
              <w:rPr>
                <w:rFonts w:ascii="Arial" w:cs="Arial" w:eastAsia="Arial" w:hAnsi="Arial"/>
                <w:sz w:val="18"/>
                <w:szCs w:val="18"/>
                <w:color w:val="auto"/>
              </w:rPr>
              <w:t>Total Projected 2021 Investment Capital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9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continue to evaluate potential sales of non-core assets and/or sales of partial interests in assets to strategic joint venture partners. The following table summarizes the proceeds received for sales of such assets, which were previously reported in our Transportation and Facilities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40" w:hanging="652"/>
        <w:spacing w:after="0" w:line="267" w:lineRule="auto"/>
        <w:tabs>
          <w:tab w:leader="none" w:pos="648"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Includes proceeds from (i) a multi-year supply agreement related to the sale of certain NGL terminals in April 2020 and (ii) our formation of Red River Pipeline Company LLC in May 2019. See Note 7 and Note 12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2" w:name="page103"/>
    <w:bookmarkEnd w:id="10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Proceeds from asset sales were used to fund our investment capital projects and reduce debt levels. See Note 7 to our Consolidated Financial Statements for additional detail regarding our divestiture transactions.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joint ventures, joint ownership arrangements and acquisitions involve risks that may adversely affect PAA’s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year ended December 31, 2020, we had net borrowings under the PAA credit facilities and commercial paper program of $296 million. The net borrowings resulted primarily from borrowings during the period related to funding needs for inventory purchases and general partnership purposes.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2019, we had net borrowings under the PAA credit facilities and commercial paper program of $418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borrowings resulted primarily from borrowings during the period related to funding needs for general partnership purposes.</w:t>
      </w:r>
    </w:p>
    <w:p>
      <w:pPr>
        <w:spacing w:after="0" w:line="23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During the year ended December 31, 2018, we had net repayments on the PAA credit facilities and commercial paper program of $901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9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August 2018, PAA entered into an agreement for two $100 million term loans from the remarketing of its two $100 million bonds. The purchasers of the two term loans have the right to put, at par, the term loans in July 2023. The bonds mature by their terms in May 2032 and August 2035, respectively. See Note 11 to our Consolidated Financial Statements for additional information.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Senior Notes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Issuances of PAA Senior Notes. </w:t>
      </w:r>
      <w:r>
        <w:rPr>
          <w:rFonts w:ascii="Arial" w:cs="Arial" w:eastAsia="Arial" w:hAnsi="Arial"/>
          <w:sz w:val="18"/>
          <w:szCs w:val="18"/>
          <w:color w:val="auto"/>
        </w:rPr>
        <w:t>During 2020 and 2019, PAA issued senior unsecured notes as summarized in the table below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4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Description</w:t>
            </w: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gridSpan w:val="2"/>
            <w:vMerge w:val="continue"/>
          </w:tcPr>
          <w:p>
            <w:pPr>
              <w:spacing w:after="0"/>
              <w:rPr>
                <w:sz w:val="16"/>
                <w:szCs w:val="16"/>
                <w:color w:val="auto"/>
              </w:rPr>
            </w:pPr>
          </w:p>
        </w:tc>
        <w:tc>
          <w:tcPr>
            <w:tcW w:w="49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4"/>
              </w:rPr>
              <w:t>Proceeds</w:t>
            </w:r>
            <w:r>
              <w:rPr>
                <w:rFonts w:ascii="Arial" w:cs="Arial" w:eastAsia="Arial" w:hAnsi="Arial"/>
                <w:sz w:val="18"/>
                <w:szCs w:val="18"/>
                <w:b w:val="1"/>
                <w:bCs w:val="1"/>
                <w:color w:val="auto"/>
                <w:w w:val="84"/>
                <w:vertAlign w:val="superscript"/>
              </w:rPr>
              <w:t>(1)</w:t>
            </w:r>
          </w:p>
        </w:tc>
        <w:tc>
          <w:tcPr>
            <w:tcW w:w="120" w:type="dxa"/>
            <w:vAlign w:val="bottom"/>
          </w:tcPr>
          <w:p>
            <w:pPr>
              <w:spacing w:after="0"/>
              <w:rPr>
                <w:sz w:val="16"/>
                <w:szCs w:val="16"/>
                <w:color w:val="auto"/>
              </w:rPr>
            </w:pPr>
          </w:p>
        </w:tc>
        <w:tc>
          <w:tcPr>
            <w:tcW w:w="840" w:type="dxa"/>
            <w:vAlign w:val="bottom"/>
          </w:tcPr>
          <w:p>
            <w:pPr>
              <w:jc w:val="right"/>
              <w:ind w:right="79"/>
              <w:spacing w:after="0" w:line="189" w:lineRule="exact"/>
              <w:rPr>
                <w:sz w:val="20"/>
                <w:szCs w:val="20"/>
                <w:color w:val="auto"/>
              </w:rPr>
            </w:pPr>
            <w:r>
              <w:rPr>
                <w:rFonts w:ascii="Arial" w:cs="Arial" w:eastAsia="Arial" w:hAnsi="Arial"/>
                <w:sz w:val="14"/>
                <w:szCs w:val="14"/>
                <w:b w:val="1"/>
                <w:bCs w:val="1"/>
                <w:color w:val="auto"/>
                <w:w w:val="84"/>
              </w:rPr>
              <w:t>Proceeds</w:t>
            </w:r>
            <w:r>
              <w:rPr>
                <w:rFonts w:ascii="Arial" w:cs="Arial" w:eastAsia="Arial" w:hAnsi="Arial"/>
                <w:sz w:val="18"/>
                <w:szCs w:val="18"/>
                <w:b w:val="1"/>
                <w:bCs w:val="1"/>
                <w:color w:val="auto"/>
                <w:w w:val="84"/>
                <w:vertAlign w:val="superscript"/>
              </w:rPr>
              <w:t>(2)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3.80% Senior Notes issued at 99.794% of face value</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3.55% Senior Notes issued at 99.801% of face value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PAA used the net proceeds from the offering to repay the principal amounts of its 5.00% senior notes due February 2021.</w:t>
      </w:r>
    </w:p>
    <w:p>
      <w:pPr>
        <w:spacing w:after="0" w:line="117" w:lineRule="exact"/>
        <w:rPr>
          <w:sz w:val="20"/>
          <w:szCs w:val="20"/>
          <w:color w:val="auto"/>
        </w:rPr>
      </w:pPr>
    </w:p>
    <w:p>
      <w:pPr>
        <w:ind w:left="20" w:right="360" w:hanging="11"/>
        <w:spacing w:after="0" w:line="277" w:lineRule="auto"/>
        <w:rPr>
          <w:sz w:val="20"/>
          <w:szCs w:val="20"/>
          <w:color w:val="auto"/>
        </w:rPr>
      </w:pPr>
      <w:r>
        <w:rPr>
          <w:rFonts w:ascii="Arial" w:cs="Arial" w:eastAsia="Arial" w:hAnsi="Arial"/>
          <w:sz w:val="18"/>
          <w:szCs w:val="18"/>
          <w:color w:val="auto"/>
        </w:rPr>
        <w:t>PAA used the net proceeds from the offering to partially repay the principal amounts of its 2.60% senior notes due December 2019 and 5.75% senior notes due January 2020 and for general partnership purposes.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Repayments of PAA Senior Notes. </w:t>
      </w:r>
      <w:r>
        <w:rPr>
          <w:rFonts w:ascii="Arial" w:cs="Arial" w:eastAsia="Arial" w:hAnsi="Arial"/>
          <w:sz w:val="18"/>
          <w:szCs w:val="18"/>
          <w:color w:val="auto"/>
        </w:rPr>
        <w:t>During 2020 and 2019, PAA repaid the following senior unsecured notes in full (in millions):</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5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Description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640" w:type="dxa"/>
            <w:vAlign w:val="bottom"/>
          </w:tcPr>
          <w:p>
            <w:pPr>
              <w:spacing w:after="0"/>
              <w:rPr>
                <w:sz w:val="16"/>
                <w:szCs w:val="16"/>
                <w:color w:val="auto"/>
              </w:rPr>
            </w:pPr>
          </w:p>
        </w:tc>
      </w:tr>
      <w:tr>
        <w:trPr>
          <w:trHeight w:val="229"/>
        </w:trPr>
        <w:tc>
          <w:tcPr>
            <w:tcW w:w="22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$600 million 5.00% Senior Notes due February 2021</w:t>
            </w:r>
          </w:p>
        </w:tc>
        <w:tc>
          <w:tcPr>
            <w:tcW w:w="12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2020</w:t>
            </w:r>
          </w:p>
        </w:tc>
        <w:tc>
          <w:tcPr>
            <w:tcW w:w="640" w:type="dxa"/>
            <w:vAlign w:val="bottom"/>
            <w:tcBorders>
              <w:top w:val="single" w:sz="8" w:color="CCEEFF"/>
            </w:tcBorders>
            <w:shd w:val="clear" w:color="auto" w:fill="CCEEFF"/>
          </w:tcPr>
          <w:p>
            <w:pPr>
              <w:jc w:val="right"/>
              <w:ind w:right="322"/>
              <w:spacing w:after="0"/>
              <w:rPr>
                <w:sz w:val="20"/>
                <w:szCs w:val="20"/>
                <w:color w:val="auto"/>
              </w:rPr>
            </w:pPr>
            <w:r>
              <w:rPr>
                <w:rFonts w:ascii="Arial" w:cs="Arial" w:eastAsia="Arial" w:hAnsi="Arial"/>
                <w:sz w:val="12"/>
                <w:szCs w:val="12"/>
                <w:color w:val="auto"/>
              </w:rPr>
              <w:t>(1)</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69"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84"/>
              </w:rPr>
              <w:t>2019</w:t>
            </w:r>
          </w:p>
        </w:tc>
        <w:tc>
          <w:tcPr>
            <w:tcW w:w="5620" w:type="dxa"/>
            <w:vAlign w:val="bottom"/>
          </w:tcPr>
          <w:p>
            <w:pPr>
              <w:jc w:val="center"/>
              <w:ind w:left="10"/>
              <w:spacing w:after="0"/>
              <w:rPr>
                <w:sz w:val="20"/>
                <w:szCs w:val="20"/>
                <w:color w:val="auto"/>
              </w:rPr>
            </w:pPr>
            <w:r>
              <w:rPr>
                <w:rFonts w:ascii="Arial" w:cs="Arial" w:eastAsia="Arial" w:hAnsi="Arial"/>
                <w:sz w:val="18"/>
                <w:szCs w:val="18"/>
                <w:color w:val="auto"/>
                <w:w w:val="91"/>
              </w:rPr>
              <w:t>$500 million 2.60% Senior Notes due December 2019</w:t>
            </w:r>
          </w:p>
        </w:tc>
        <w:tc>
          <w:tcPr>
            <w:tcW w:w="1980" w:type="dxa"/>
            <w:vAlign w:val="bottom"/>
          </w:tcPr>
          <w:p>
            <w:pPr>
              <w:ind w:left="800"/>
              <w:spacing w:after="0"/>
              <w:rPr>
                <w:sz w:val="20"/>
                <w:szCs w:val="20"/>
                <w:color w:val="auto"/>
              </w:rPr>
            </w:pPr>
            <w:r>
              <w:rPr>
                <w:rFonts w:ascii="Arial" w:cs="Arial" w:eastAsia="Arial" w:hAnsi="Arial"/>
                <w:sz w:val="18"/>
                <w:szCs w:val="18"/>
                <w:color w:val="auto"/>
                <w:w w:val="90"/>
              </w:rPr>
              <w:t>November 2019</w:t>
            </w:r>
          </w:p>
        </w:tc>
      </w:tr>
      <w:tr>
        <w:trPr>
          <w:trHeight w:val="230"/>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84"/>
              </w:rPr>
              <w:t>2019</w:t>
            </w:r>
          </w:p>
        </w:tc>
        <w:tc>
          <w:tcPr>
            <w:tcW w:w="5620" w:type="dxa"/>
            <w:vAlign w:val="bottom"/>
          </w:tcPr>
          <w:p>
            <w:pPr>
              <w:jc w:val="center"/>
              <w:ind w:left="10"/>
              <w:spacing w:after="0"/>
              <w:rPr>
                <w:sz w:val="20"/>
                <w:szCs w:val="20"/>
                <w:color w:val="auto"/>
              </w:rPr>
            </w:pPr>
            <w:r>
              <w:rPr>
                <w:rFonts w:ascii="Arial" w:cs="Arial" w:eastAsia="Arial" w:hAnsi="Arial"/>
                <w:sz w:val="18"/>
                <w:szCs w:val="18"/>
                <w:color w:val="auto"/>
                <w:w w:val="90"/>
              </w:rPr>
              <w:t>$500 million 5.75% Senior Notes due January 2020</w:t>
            </w:r>
          </w:p>
        </w:tc>
        <w:tc>
          <w:tcPr>
            <w:tcW w:w="1980" w:type="dxa"/>
            <w:vAlign w:val="bottom"/>
          </w:tcPr>
          <w:p>
            <w:pPr>
              <w:ind w:left="820"/>
              <w:spacing w:after="0"/>
              <w:rPr>
                <w:sz w:val="20"/>
                <w:szCs w:val="20"/>
                <w:color w:val="auto"/>
              </w:rPr>
            </w:pPr>
            <w:r>
              <w:rPr>
                <w:rFonts w:ascii="Arial" w:cs="Arial" w:eastAsia="Arial" w:hAnsi="Arial"/>
                <w:sz w:val="18"/>
                <w:szCs w:val="18"/>
                <w:color w:val="auto"/>
                <w:w w:val="88"/>
              </w:rPr>
              <w:t>December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06285"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2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18" w:lineRule="exact"/>
        <w:rPr>
          <w:sz w:val="20"/>
          <w:szCs w:val="20"/>
          <w:color w:val="auto"/>
        </w:rPr>
      </w:pPr>
    </w:p>
    <w:p>
      <w:pPr>
        <w:sectPr>
          <w:pgSz w:w="11900" w:h="16838" w:orient="portrait"/>
          <w:cols w:equalWidth="0" w:num="2">
            <w:col w:w="9980" w:space="720"/>
            <w:col w:w="540"/>
          </w:cols>
          <w:pgMar w:left="320" w:top="130" w:right="339"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PAA repaid these senior notes with proceeds from its 3.80% senior notes issued in June 2020 and cash on hand.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PAA repaid these senior notes with proceeds from its 3.55% senior notes issued in September 2019 and cash on hand.</w:t>
      </w:r>
    </w:p>
    <w:p>
      <w:pPr>
        <w:spacing w:after="0" w:line="200"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spacing w:after="0" w:line="7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Additionally, during the year ended December 31, 2020, PAA repurchased $17 million of its outstanding senior notes on the open market and recognized a gain of $3 million on these transactions.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jc w:val="both"/>
        <w:ind w:right="40" w:firstLine="648"/>
        <w:spacing w:after="0" w:line="296" w:lineRule="auto"/>
        <w:rPr>
          <w:sz w:val="20"/>
          <w:szCs w:val="20"/>
          <w:color w:val="auto"/>
        </w:rPr>
      </w:pPr>
      <w:r>
        <w:rPr>
          <w:rFonts w:ascii="Arial" w:cs="Arial" w:eastAsia="Arial" w:hAnsi="Arial"/>
          <w:sz w:val="16"/>
          <w:szCs w:val="16"/>
          <w:i w:val="1"/>
          <w:iCs w:val="1"/>
          <w:color w:val="auto"/>
        </w:rPr>
        <w:t xml:space="preserve">PAGP Registration Statements. </w:t>
      </w:r>
      <w:r>
        <w:rPr>
          <w:rFonts w:ascii="Arial" w:cs="Arial" w:eastAsia="Arial" w:hAnsi="Arial"/>
          <w:sz w:val="16"/>
          <w:szCs w:val="16"/>
          <w:color w:val="auto"/>
        </w:rPr>
        <w:t>We have filed with the SEC a shelf registration statement that, subject to effectiveness at the time of use, allows us</w:t>
      </w:r>
      <w:r>
        <w:rPr>
          <w:rFonts w:ascii="Arial" w:cs="Arial" w:eastAsia="Arial" w:hAnsi="Arial"/>
          <w:sz w:val="16"/>
          <w:szCs w:val="16"/>
          <w:i w:val="1"/>
          <w:iCs w:val="1"/>
          <w:color w:val="auto"/>
        </w:rPr>
        <w:t xml:space="preserve"> </w:t>
      </w:r>
      <w:r>
        <w:rPr>
          <w:rFonts w:ascii="Arial" w:cs="Arial" w:eastAsia="Arial" w:hAnsi="Arial"/>
          <w:sz w:val="16"/>
          <w:szCs w:val="16"/>
          <w:color w:val="auto"/>
        </w:rPr>
        <w:t>to issue up to an aggregate of $939 million of equity securities (“PAGP Traditional Shelf”). At December 31, 2020,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 We did not conduct any offerings under the PAGP Traditional Shelf or PAGP WKSI Shelf during the years ended December 31, 2020, 2019 or 2018.</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i w:val="1"/>
          <w:iCs w:val="1"/>
          <w:color w:val="auto"/>
        </w:rPr>
        <w:t>PAA Registration Statements</w:t>
      </w:r>
      <w:r>
        <w:rPr>
          <w:rFonts w:ascii="Arial" w:cs="Arial" w:eastAsia="Arial" w:hAnsi="Arial"/>
          <w:sz w:val="16"/>
          <w:szCs w:val="16"/>
          <w:color w:val="auto"/>
        </w:rPr>
        <w:t>. PAA periodically accesses the capital markets for both equity and debt financing. PAA has filed with the SEC a</w:t>
      </w:r>
      <w:r>
        <w:rPr>
          <w:rFonts w:ascii="Arial" w:cs="Arial" w:eastAsia="Arial" w:hAnsi="Arial"/>
          <w:sz w:val="16"/>
          <w:szCs w:val="16"/>
          <w:i w:val="1"/>
          <w:iCs w:val="1"/>
          <w:color w:val="auto"/>
        </w:rPr>
        <w:t xml:space="preserve"> </w:t>
      </w:r>
      <w:r>
        <w:rPr>
          <w:rFonts w:ascii="Arial" w:cs="Arial" w:eastAsia="Arial" w:hAnsi="Arial"/>
          <w:sz w:val="16"/>
          <w:szCs w:val="16"/>
          <w:color w:val="auto"/>
        </w:rPr>
        <w:t>universal shelf registration statement that, subject to effectiveness at the time of use, allows PAA to issue up to an aggregate of $1.1 billion of debt or equity securities (“PAA Traditional Shelf”). PAA did not conduct any offerings under the PAA Traditional Shelf during the years ended December 31, 2020, 2019 or 2018. At December 31, 2020, PAA had approximately $1.1 billion of unsold securities available under the PAA Traditional Shelf. PAA also has access to a universal shelf registration statement (“PAA WKSI Shelf”), which provides it with the ability to offer and sell an unlimited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amount of debt and equity securities, subject to market conditions and capital needs. The offering of PAA’s $750 million, 3.80% senior notes in June 2020 was conducted under the PAA WKSI Shelf.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 repurchased 6.2 million common units under the Program through open market purchases that settled during the year ended December 31, 2020. The total purchase price of these repurchases was $50 million, including commissions and fees. The remaining available capacity under the Program as of December 31, 2020 was $450 million. Additionally, PAA repurchased 350,000 common units under the Program for $3 million through open market purchases at the end of December 2020 that settled in January 2021.</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See Item 5. “Market for Registrant’s Shares, Related Shareholder Matters and Issuer Purchases of Equity Securities—Cash Distribution Policy” for additional discussion regarding available cash and distributions.</w:t>
      </w:r>
    </w:p>
    <w:p>
      <w:pPr>
        <w:spacing w:after="0" w:line="2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response to the challenging near-term market conditions, we took steps to further strengthen our balance sheet, liquidity and long-term financial flexibility. In this regard, beginning with the May 2020 distribution, PAA’s distribution per common unit and our distribution per Class A share were reduced by 50% versus the distributions paid in February 2020, which reflects a reduction of $525 million on an annualized basis. See “—Executive Summary—Recent Events and Outlook” for further discussion.</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12, 2021, we paid a quarterly distribution of $0.18 per Class A share ($0.72 per Class A share on an annualized basis). See Note 12 to our Consolidated Financial Statements for details of distributions paid during the three years ended December 31, 2020.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December 31, 2020,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Pipeline Company LLC.</w:t>
      </w:r>
    </w:p>
    <w:p>
      <w:pPr>
        <w:spacing w:after="0" w:line="21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Series A preferred unitholders. </w:t>
      </w:r>
      <w:r>
        <w:rPr>
          <w:rFonts w:ascii="Arial" w:cs="Arial" w:eastAsia="Arial" w:hAnsi="Arial"/>
          <w:sz w:val="18"/>
          <w:szCs w:val="18"/>
          <w:color w:val="auto"/>
        </w:rPr>
        <w:t>Holders of PAA’s Series A preferred units are entitled to receive quarterly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customary anti-dilution adjustments, of $0.525 per unit ($2.10 per unit annualized). Subject to certain limitations, following January 28, 2021, the holders of PAA’s Series A preferred units may make a one-time election to reset the distribution rate. See Note 12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Distributions to PAA’s Series B preferred unitholders. </w:t>
      </w:r>
      <w:r>
        <w:rPr>
          <w:rFonts w:ascii="Arial" w:cs="Arial" w:eastAsia="Arial" w:hAnsi="Arial"/>
          <w:sz w:val="16"/>
          <w:szCs w:val="16"/>
          <w:color w:val="auto"/>
        </w:rPr>
        <w:t>Holders of PAA’s Series B preferred units are entitled to receive, when, as and if declared by</w:t>
      </w:r>
      <w:r>
        <w:rPr>
          <w:rFonts w:ascii="Arial" w:cs="Arial" w:eastAsia="Arial" w:hAnsi="Arial"/>
          <w:sz w:val="16"/>
          <w:szCs w:val="16"/>
          <w:i w:val="1"/>
          <w:iCs w:val="1"/>
          <w:color w:val="auto"/>
        </w:rPr>
        <w:t xml:space="preserve"> </w:t>
      </w:r>
      <w:r>
        <w:rPr>
          <w:rFonts w:ascii="Arial" w:cs="Arial" w:eastAsia="Arial" w:hAnsi="Arial"/>
          <w:sz w:val="16"/>
          <w:szCs w:val="16"/>
          <w:color w:val="auto"/>
        </w:rPr>
        <w:t>PAA’s general partner out of legally available funds for such purpose, cumulative cash distributions, as applicable. Through and including November 15, 2022, holders are entitled to a distribution equal to $61.25 per unit per year, payable semiannually in arrears on the 15th day of May and November.</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See Note 12 to our Consolidated Financial Statements for further discussion of PAA’s Series B preferred units, including distribution rates and payment dates after November 15, 2022.</w:t>
      </w:r>
    </w:p>
    <w:p>
      <w:pPr>
        <w:spacing w:after="0" w:line="21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February 12, 2021, PAA paid a quarterly distribution of $0.18 per common unit ($0.72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See Note 12 to our Consolidated Financial Statements for details of distributions paid during the three years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19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which range in term from thirty-day evergreen to five years, with a limited number of contracts with remaining terms extending up to 14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December 31, 2020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0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7"/>
              </w:rPr>
              <w:t>Long-term debt and related interest payments</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3"/>
        </w:trPr>
        <w:tc>
          <w:tcPr>
            <w:tcW w:w="3600" w:type="dxa"/>
            <w:vAlign w:val="bottom"/>
          </w:tcPr>
          <w:p>
            <w:pPr>
              <w:ind w:left="8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17,376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74,948</w:t>
            </w:r>
          </w:p>
        </w:tc>
        <w:tc>
          <w:tcPr>
            <w:tcW w:w="0" w:type="dxa"/>
            <w:vAlign w:val="bottom"/>
          </w:tcPr>
          <w:p>
            <w:pPr>
              <w:spacing w:after="0"/>
              <w:rPr>
                <w:sz w:val="1"/>
                <w:szCs w:val="1"/>
                <w:color w:val="auto"/>
              </w:rPr>
            </w:pPr>
          </w:p>
        </w:tc>
      </w:tr>
      <w:tr>
        <w:trPr>
          <w:trHeight w:val="223"/>
        </w:trPr>
        <w:tc>
          <w:tcPr>
            <w:tcW w:w="36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hanging="11"/>
        <w:spacing w:after="0" w:line="255" w:lineRule="auto"/>
        <w:rPr>
          <w:sz w:val="20"/>
          <w:szCs w:val="20"/>
          <w:color w:val="auto"/>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PAA’s credit agreements and commercial paper program, if any. Although there may be short-term borrowings under PAA’s credit agreements and commercial paper program, we historically repay and borrow at varying amounts. As such, we have included only the maximum commitment fee (as if no short-term borrowings were outstanding on PAA’s credit agreements or commercial paper program) in the amounts above. For additional information regarding our debt obligations, see Note 11 to our Consolidated Financial Statements.</w:t>
      </w:r>
    </w:p>
    <w:p>
      <w:pPr>
        <w:spacing w:after="0" w:line="84" w:lineRule="exact"/>
        <w:rPr>
          <w:sz w:val="20"/>
          <w:szCs w:val="20"/>
          <w:color w:val="auto"/>
        </w:rPr>
      </w:pPr>
    </w:p>
    <w:p>
      <w:pPr>
        <w:ind w:right="460" w:hanging="11"/>
        <w:spacing w:after="0" w:line="342" w:lineRule="auto"/>
        <w:rPr>
          <w:sz w:val="20"/>
          <w:szCs w:val="20"/>
          <w:color w:val="auto"/>
        </w:rPr>
      </w:pPr>
      <w:r>
        <w:rPr>
          <w:rFonts w:ascii="Arial" w:cs="Arial" w:eastAsia="Arial" w:hAnsi="Arial"/>
          <w:sz w:val="16"/>
          <w:szCs w:val="16"/>
          <w:color w:val="auto"/>
        </w:rPr>
        <w:t>Includes both operating and finance leases as defined by FASB guidance. Leases are primarily for (i) railcars, (ii) land, (iii) office space, (iv) storage tanks, (v) tractor trailers and (vi) vehicles. See Note 14 to our Consolidated Financial Statements for additional information.</w:t>
      </w:r>
    </w:p>
    <w:p>
      <w:pPr>
        <w:spacing w:after="0" w:line="200" w:lineRule="exact"/>
        <w:rPr>
          <w:sz w:val="20"/>
          <w:szCs w:val="20"/>
          <w:color w:val="auto"/>
        </w:rPr>
      </w:pPr>
    </w:p>
    <w:p>
      <w:pPr>
        <w:sectPr>
          <w:pgSz w:w="11900" w:h="16838" w:orient="portrait"/>
          <w:cols w:equalWidth="0" w:num="2">
            <w:col w:w="140" w:space="520"/>
            <w:col w:w="10560"/>
          </w:cols>
          <w:pgMar w:left="320" w:top="130" w:right="359" w:bottom="1440" w:gutter="0" w:footer="0" w:header="0"/>
          <w:type w:val="continuous"/>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Index to Financial Statements</w:t>
        </w:r>
      </w:hyperlink>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40" w:hanging="11"/>
        <w:spacing w:after="0" w:line="254" w:lineRule="auto"/>
        <w:rPr>
          <w:sz w:val="20"/>
          <w:szCs w:val="20"/>
          <w:color w:val="auto"/>
        </w:rPr>
      </w:pPr>
      <w:r>
        <w:rPr>
          <w:rFonts w:ascii="Arial" w:cs="Arial" w:eastAsia="Arial" w:hAnsi="Arial"/>
          <w:sz w:val="18"/>
          <w:szCs w:val="18"/>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 (iv) noncancelable commitments related to our investment capital projects, including projected contributions for our share of the capital spending of our equity method investments. The storage, processing and transportation agreements include approximately $2.0 billion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7" w:lineRule="exact"/>
        <w:rPr>
          <w:sz w:val="20"/>
          <w:szCs w:val="20"/>
          <w:color w:val="auto"/>
        </w:rPr>
      </w:pPr>
    </w:p>
    <w:p>
      <w:pPr>
        <w:ind w:right="100" w:hanging="11"/>
        <w:spacing w:after="0" w:line="311" w:lineRule="auto"/>
        <w:rPr>
          <w:sz w:val="20"/>
          <w:szCs w:val="20"/>
          <w:color w:val="auto"/>
        </w:rPr>
      </w:pPr>
      <w:r>
        <w:rPr>
          <w:rFonts w:ascii="Arial" w:cs="Arial" w:eastAsia="Arial" w:hAnsi="Arial"/>
          <w:sz w:val="16"/>
          <w:szCs w:val="16"/>
          <w:color w:val="auto"/>
        </w:rPr>
        <w:t>Amounts are primarily based on estimated volumes and market prices based on average activity during December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76" w:lineRule="exact"/>
        <w:rPr>
          <w:sz w:val="20"/>
          <w:szCs w:val="20"/>
          <w:color w:val="auto"/>
        </w:rPr>
      </w:pPr>
    </w:p>
    <w:p>
      <w:pPr>
        <w:sectPr>
          <w:pgSz w:w="11900" w:h="16838" w:orient="portrait"/>
          <w:cols w:equalWidth="0" w:num="2">
            <w:col w:w="140" w:space="520"/>
            <w:col w:w="10560"/>
          </w:cols>
          <w:pgMar w:left="320" w:top="130" w:right="359" w:bottom="1440" w:gutter="0" w:footer="0" w:header="0"/>
          <w:type w:val="continuous"/>
        </w:sectPr>
      </w:pPr>
    </w:p>
    <w:p>
      <w:pPr>
        <w:ind w:right="280" w:firstLine="648"/>
        <w:spacing w:after="0" w:line="273"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 standby letters of credit to</w:t>
      </w:r>
      <w:r>
        <w:rPr>
          <w:rFonts w:ascii="Arial" w:cs="Arial" w:eastAsia="Arial" w:hAnsi="Arial"/>
          <w:sz w:val="17"/>
          <w:szCs w:val="17"/>
          <w:i w:val="1"/>
          <w:iCs w:val="1"/>
          <w:color w:val="auto"/>
        </w:rPr>
        <w:t xml:space="preserve"> </w:t>
      </w:r>
      <w:r>
        <w:rPr>
          <w:rFonts w:ascii="Arial" w:cs="Arial" w:eastAsia="Arial" w:hAnsi="Arial"/>
          <w:sz w:val="17"/>
          <w:szCs w:val="17"/>
          <w:color w:val="auto"/>
        </w:rPr>
        <w:t>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2020 and 2019, we had outstanding letters of credit of approximately $129 million and $157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5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facilities of such entities. We may elect at any time to make additional capital contributions to any of these entities. The following table sets forth selected information regarding these entities as of December 31, 2020 (unaudited, dollars in millions):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Our</w:t>
            </w:r>
          </w:p>
        </w:tc>
        <w:tc>
          <w:tcPr>
            <w:tcW w:w="24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Cash</w:t>
            </w:r>
          </w:p>
        </w:tc>
        <w:tc>
          <w:tcPr>
            <w:tcW w:w="260" w:type="dxa"/>
            <w:vAlign w:val="bottom"/>
          </w:tcPr>
          <w:p>
            <w:pPr>
              <w:spacing w:after="0"/>
              <w:rPr>
                <w:sz w:val="14"/>
                <w:szCs w:val="14"/>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Type of Operation</w:t>
            </w: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Ownership</w:t>
            </w:r>
          </w:p>
        </w:tc>
        <w:tc>
          <w:tcPr>
            <w:tcW w:w="2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Restricted</w:t>
            </w:r>
          </w:p>
        </w:tc>
        <w:tc>
          <w:tcPr>
            <w:tcW w:w="26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88"/>
        </w:trPr>
        <w:tc>
          <w:tcPr>
            <w:tcW w:w="358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26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24"/>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52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8"/>
              </w:rPr>
              <w:t xml:space="preserve">Crude Oil Pipeline </w:t>
            </w:r>
            <w:r>
              <w:rPr>
                <w:rFonts w:ascii="Arial" w:cs="Arial" w:eastAsia="Arial" w:hAnsi="Arial"/>
                <w:sz w:val="23"/>
                <w:szCs w:val="23"/>
                <w:color w:val="auto"/>
                <w:w w:val="88"/>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52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52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52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9"/>
              </w:rPr>
              <w:t xml:space="preserve">Crude Oil Terminal and Dock </w:t>
            </w:r>
            <w:r>
              <w:rPr>
                <w:rFonts w:ascii="Arial" w:cs="Arial" w:eastAsia="Arial" w:hAnsi="Arial"/>
                <w:sz w:val="23"/>
                <w:szCs w:val="23"/>
                <w:color w:val="auto"/>
                <w:w w:val="89"/>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52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Crude Oil Pipeline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Other investments</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0" w:type="dxa"/>
            <w:vAlign w:val="bottom"/>
          </w:tcPr>
          <w:p>
            <w:pPr>
              <w:jc w:val="right"/>
              <w:ind w:right="202"/>
              <w:spacing w:after="0"/>
              <w:rPr>
                <w:sz w:val="20"/>
                <w:szCs w:val="20"/>
                <w:color w:val="auto"/>
              </w:rPr>
            </w:pPr>
            <w:r>
              <w:rPr>
                <w:rFonts w:ascii="Arial" w:cs="Arial" w:eastAsia="Arial" w:hAnsi="Arial"/>
                <w:sz w:val="12"/>
                <w:szCs w:val="12"/>
                <w:color w:val="auto"/>
                <w:w w:val="81"/>
              </w:rPr>
              <w:t>(1)</w:t>
            </w:r>
          </w:p>
        </w:tc>
        <w:tc>
          <w:tcPr>
            <w:tcW w:w="5360" w:type="dxa"/>
            <w:vAlign w:val="bottom"/>
            <w:vMerge w:val="restart"/>
          </w:tcPr>
          <w:p>
            <w:pPr>
              <w:jc w:val="right"/>
              <w:ind w:right="2630"/>
              <w:spacing w:after="0"/>
              <w:rPr>
                <w:sz w:val="20"/>
                <w:szCs w:val="20"/>
                <w:color w:val="auto"/>
              </w:rPr>
            </w:pPr>
            <w:r>
              <w:rPr>
                <w:rFonts w:ascii="Arial" w:cs="Arial" w:eastAsia="Arial" w:hAnsi="Arial"/>
                <w:sz w:val="18"/>
                <w:szCs w:val="18"/>
                <w:color w:val="auto"/>
                <w:w w:val="95"/>
              </w:rPr>
              <w:t>We serve as operator of the asset.</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5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2"/>
        </w:trPr>
        <w:tc>
          <w:tcPr>
            <w:tcW w:w="40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The board of directors of our general partner, acting through the Audit Committee, retains a general oversight role with respect to the management of these risks while management is directly responsible for our risk management activities. The Audit Committee has authorized the formation of a Risk Management Committee composed of senior members of management that oversees and works with our risk management function to ensure that we are in compliance with our risk policies and procedures and that we maintain related controls around commercial activities and certain aspects of corporate risk management. Our Risk Management Committee also approves all new risk management strategies through a formal process. The following discussion addresses each category of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320"/>
        <w:spacing w:after="0" w:line="263" w:lineRule="auto"/>
        <w:rPr>
          <w:rFonts w:ascii="Arial" w:cs="Arial" w:eastAsia="Arial" w:hAnsi="Arial"/>
          <w:sz w:val="13"/>
          <w:szCs w:val="13"/>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75" w:lineRule="exact"/>
        <w:rPr>
          <w:rFonts w:ascii="Arial" w:cs="Arial" w:eastAsia="Arial" w:hAnsi="Arial"/>
          <w:sz w:val="13"/>
          <w:szCs w:val="13"/>
          <w:i w:val="1"/>
          <w:iCs w:val="1"/>
          <w:color w:val="auto"/>
        </w:rPr>
      </w:pPr>
    </w:p>
    <w:p>
      <w:pPr>
        <w:ind w:left="980" w:hanging="324"/>
        <w:spacing w:after="0"/>
        <w:tabs>
          <w:tab w:leader="none" w:pos="980" w:val="left"/>
        </w:tabs>
        <w:numPr>
          <w:ilvl w:val="0"/>
          <w:numId w:val="64"/>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right="80"/>
        <w:spacing w:after="0" w:line="263"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75" w:lineRule="exact"/>
        <w:rPr>
          <w:rFonts w:ascii="Arial" w:cs="Arial" w:eastAsia="Arial" w:hAnsi="Arial"/>
          <w:sz w:val="13"/>
          <w:szCs w:val="13"/>
          <w:color w:val="auto"/>
        </w:rPr>
      </w:pPr>
    </w:p>
    <w:p>
      <w:pPr>
        <w:ind w:left="980" w:hanging="324"/>
        <w:spacing w:after="0"/>
        <w:tabs>
          <w:tab w:leader="none" w:pos="980" w:val="left"/>
        </w:tabs>
        <w:numPr>
          <w:ilvl w:val="0"/>
          <w:numId w:val="64"/>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280"/>
        <w:spacing w:after="0" w:line="263"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2020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2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2020, approximately $914 million, was subject to interest rate re-sets that generally range from one day to approximately one month. The average interest rate on variable rate debt that was outstanding during the year ended December 31, 2020 was 1.4%, based upon rates in effect during the year. The fair value of our interest rate derivatives was an asset of $46 million as of December 31, 2020. A 10% increase in the forward LIBOR curve as of December 31, 2020 would have resulted in an increase of $15 million to the fair value of our interest rate derivatives. A 10% decrease in the forward LIBOR curve as of December 31, 2020 would have resulted in a decrease of $15 million to the fair value of our interest rate derivatives. See Note 13 to our Consolidated Financial Statements for a discussion of our interest rate risk hedging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5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$2 million as of December 31, 2020. A 10% increase in the exchange rate (USD-to-CAD) would have resulted in a decrease of $3 million to the fair value of our foreign currency derivatives. A 10% decrease in the exchange rate (USD-to-CAD) would have resulted in an increase of $3 million to the fair value of our foreign currency derivatives. See Note 13 to our Consolidated Financial Statements for a discussion of our currency exchange rate risk hedging.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$14 million as of December 31, 2020. A 10% increase or decrease in the fair value would have an impact of $1 million. See Note 13 to our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9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2020,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2020. See “Management’s Report on Internal Control Over Financial Reporting” on page F-2 of our Consolidated Financial Statements.</w:t>
      </w:r>
    </w:p>
    <w:p>
      <w:pPr>
        <w:spacing w:after="0" w:line="20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2020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2020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0" w:name="page111"/>
    <w:bookmarkEnd w:id="110"/>
    <w:p>
      <w:pPr>
        <w:ind w:left="73"/>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ind w:left="73"/>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left="73" w:right="3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13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733"/>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217" w:lineRule="exact"/>
        <w:rPr>
          <w:sz w:val="20"/>
          <w:szCs w:val="20"/>
          <w:color w:val="auto"/>
        </w:rPr>
      </w:pPr>
    </w:p>
    <w:tbl>
      <w:tblPr>
        <w:tblLayout w:type="fixed"/>
        <w:tblInd w:w="113" w:type="dxa"/>
        <w:tblCellMar>
          <w:top w:w="0" w:type="dxa"/>
          <w:left w:w="0" w:type="dxa"/>
          <w:bottom w:w="0" w:type="dxa"/>
          <w:right w:w="0" w:type="dxa"/>
        </w:tblCellMar>
      </w:tblPr>
      <w:tr>
        <w:trPr>
          <w:trHeight w:val="192"/>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Principal Occupation or Employment</w:t>
            </w:r>
          </w:p>
        </w:tc>
      </w:tr>
      <w:tr>
        <w:trPr>
          <w:trHeight w:val="229"/>
        </w:trPr>
        <w:tc>
          <w:tcPr>
            <w:tcW w:w="2500" w:type="dxa"/>
            <w:vAlign w:val="bottom"/>
            <w:tcBorders>
              <w:top w:val="single" w:sz="8" w:color="auto"/>
            </w:tcBorders>
            <w:shd w:val="clear" w:color="auto" w:fill="CCEEFF"/>
          </w:tcPr>
          <w:p>
            <w:pPr>
              <w:spacing w:after="0" w:line="229" w:lineRule="exact"/>
              <w:rPr>
                <w:sz w:val="20"/>
                <w:szCs w:val="20"/>
                <w:color w:val="auto"/>
              </w:rPr>
            </w:pPr>
            <w:r>
              <w:rPr>
                <w:rFonts w:ascii="Arial" w:cs="Arial" w:eastAsia="Arial" w:hAnsi="Arial"/>
                <w:sz w:val="18"/>
                <w:szCs w:val="18"/>
                <w:color w:val="auto"/>
              </w:rPr>
              <w:t xml:space="preserve">Willie Chiang </w:t>
            </w:r>
            <w:r>
              <w:rPr>
                <w:rFonts w:ascii="Arial" w:cs="Arial" w:eastAsia="Arial" w:hAnsi="Arial"/>
                <w:sz w:val="23"/>
                <w:szCs w:val="23"/>
                <w:color w:val="auto"/>
                <w:vertAlign w:val="superscript"/>
              </w:rPr>
              <w:t>(1)(2)</w:t>
            </w:r>
          </w:p>
        </w:tc>
        <w:tc>
          <w:tcPr>
            <w:tcW w:w="10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(1)(2)</w:t>
            </w:r>
          </w:p>
        </w:tc>
        <w:tc>
          <w:tcPr>
            <w:tcW w:w="8580" w:type="dxa"/>
            <w:vAlign w:val="bottom"/>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(1)</w:t>
            </w:r>
          </w:p>
        </w:tc>
        <w:tc>
          <w:tcPr>
            <w:tcW w:w="85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Jeremy L. Goebel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 Commercial</w:t>
            </w:r>
          </w:p>
        </w:tc>
      </w:tr>
      <w:tr>
        <w:trPr>
          <w:trHeight w:val="230"/>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Richard K. McGee </w:t>
            </w:r>
            <w:r>
              <w:rPr>
                <w:rFonts w:ascii="Arial" w:cs="Arial" w:eastAsia="Arial" w:hAnsi="Arial"/>
                <w:sz w:val="23"/>
                <w:szCs w:val="23"/>
                <w:color w:val="auto"/>
                <w:vertAlign w:val="superscript"/>
              </w:rPr>
              <w:t>(1)</w:t>
            </w:r>
          </w:p>
        </w:tc>
        <w:tc>
          <w:tcPr>
            <w:tcW w:w="85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Chris Herbold </w:t>
            </w:r>
            <w:r>
              <w:rPr>
                <w:rFonts w:ascii="Arial" w:cs="Arial" w:eastAsia="Arial" w:hAnsi="Arial"/>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Senior Advisor to the Chief Executive Officer (former Chairman and Chief Executive Officer)</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Victor Burk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Director, Alvarez and Marsal</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Kevin McCarthy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Vice Chairman, Kayne Anderson Capital Advisors, L.P.</w:t>
            </w:r>
          </w:p>
        </w:tc>
      </w:tr>
      <w:tr>
        <w:trPr>
          <w:trHeight w:val="230"/>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Gary R. Petersen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Partner, EnCap Investments L.P.</w:t>
            </w: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Senior Advisor, Perella Weinberg Partners</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Partner and Chief Executive Officer, The Energy &amp; Minerals Group</w:t>
            </w:r>
          </w:p>
        </w:tc>
      </w:tr>
      <w:tr>
        <w:trPr>
          <w:trHeight w:val="230"/>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Former Chairman and CEO, Burlington Resources Inc.</w:t>
            </w:r>
          </w:p>
        </w:tc>
      </w:tr>
      <w:tr>
        <w:trPr>
          <w:trHeight w:val="229"/>
        </w:trPr>
        <w:tc>
          <w:tcPr>
            <w:tcW w:w="2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Christopher M. Temple </w:t>
            </w:r>
            <w:r>
              <w:rPr>
                <w:rFonts w:ascii="Arial" w:cs="Arial" w:eastAsia="Arial" w:hAnsi="Arial"/>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DelTex Capital LLC</w:t>
            </w:r>
          </w:p>
        </w:tc>
      </w:tr>
      <w:tr>
        <w:trPr>
          <w:trHeight w:val="312"/>
        </w:trPr>
        <w:tc>
          <w:tcPr>
            <w:tcW w:w="2600" w:type="dxa"/>
            <w:vAlign w:val="bottom"/>
            <w:gridSpan w:val="2"/>
          </w:tcPr>
          <w:p>
            <w:pPr>
              <w:spacing w:after="0"/>
              <w:rPr>
                <w:sz w:val="20"/>
                <w:szCs w:val="20"/>
                <w:color w:val="auto"/>
              </w:rPr>
            </w:pPr>
            <w:r>
              <w:rPr>
                <w:rFonts w:ascii="Arial" w:cs="Arial" w:eastAsia="Arial" w:hAnsi="Arial"/>
                <w:sz w:val="18"/>
                <w:szCs w:val="18"/>
                <w:color w:val="auto"/>
              </w:rPr>
              <w:t xml:space="preserve">Lawrence M. Ziemba </w:t>
            </w:r>
            <w:r>
              <w:rPr>
                <w:rFonts w:ascii="Arial" w:cs="Arial" w:eastAsia="Arial" w:hAnsi="Arial"/>
                <w:sz w:val="23"/>
                <w:szCs w:val="23"/>
                <w:color w:val="auto"/>
                <w:vertAlign w:val="superscript"/>
              </w:rPr>
              <w:t>(2)</w:t>
            </w:r>
          </w:p>
        </w:tc>
        <w:tc>
          <w:tcPr>
            <w:tcW w:w="8580" w:type="dxa"/>
            <w:vAlign w:val="bottom"/>
          </w:tcPr>
          <w:p>
            <w:pPr>
              <w:ind w:left="20"/>
              <w:spacing w:after="0"/>
              <w:rPr>
                <w:sz w:val="20"/>
                <w:szCs w:val="20"/>
                <w:color w:val="auto"/>
              </w:rPr>
            </w:pPr>
            <w:r>
              <w:rPr>
                <w:rFonts w:ascii="Arial" w:cs="Arial" w:eastAsia="Arial" w:hAnsi="Arial"/>
                <w:sz w:val="18"/>
                <w:szCs w:val="18"/>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222250</wp:posOffset>
            </wp:positionV>
            <wp:extent cx="22885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53" w:hanging="353"/>
        <w:spacing w:after="0"/>
        <w:tabs>
          <w:tab w:leader="none" w:pos="353"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Executive officer (for purposes of Item 401(b) of Regulation S-K)</w:t>
      </w:r>
    </w:p>
    <w:p>
      <w:pPr>
        <w:spacing w:after="0" w:line="1" w:lineRule="exact"/>
        <w:rPr>
          <w:rFonts w:ascii="Arial" w:cs="Arial" w:eastAsia="Arial" w:hAnsi="Arial"/>
          <w:sz w:val="23"/>
          <w:szCs w:val="23"/>
          <w:color w:val="auto"/>
          <w:vertAlign w:val="superscript"/>
        </w:rPr>
      </w:pPr>
    </w:p>
    <w:p>
      <w:pPr>
        <w:ind w:left="353" w:hanging="353"/>
        <w:spacing w:after="0" w:line="194" w:lineRule="auto"/>
        <w:tabs>
          <w:tab w:leader="none" w:pos="353"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Director</w:t>
      </w:r>
    </w:p>
    <w:p>
      <w:pPr>
        <w:spacing w:after="0" w:line="229" w:lineRule="exact"/>
        <w:rPr>
          <w:sz w:val="20"/>
          <w:szCs w:val="20"/>
          <w:color w:val="auto"/>
        </w:rPr>
      </w:pPr>
    </w:p>
    <w:p>
      <w:pPr>
        <w:ind w:left="73" w:right="400" w:firstLine="648"/>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About Us—Leadership.</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2" w:lineRule="exact"/>
        <w:rPr>
          <w:sz w:val="20"/>
          <w:szCs w:val="20"/>
          <w:color w:val="auto"/>
        </w:rPr>
      </w:pPr>
    </w:p>
    <w:p>
      <w:pPr>
        <w:ind w:left="73" w:right="3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89" w:lineRule="exact"/>
        <w:rPr>
          <w:sz w:val="20"/>
          <w:szCs w:val="20"/>
          <w:color w:val="auto"/>
        </w:rPr>
      </w:pPr>
    </w:p>
    <w:p>
      <w:pPr>
        <w:ind w:left="73" w:right="3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93"/>
          </w:cols>
          <w:pgMar w:left="247" w:top="130" w:right="35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2021 Annual Meeting, which will be filed with the SEC within 120 days after the end of the fiscal year ended December 31, 2020,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30" w:right="71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52" w:lineRule="exact"/>
        <w:rPr>
          <w:sz w:val="20"/>
          <w:szCs w:val="20"/>
          <w:color w:val="auto"/>
        </w:rPr>
      </w:pPr>
    </w:p>
    <w:p>
      <w:pPr>
        <w:ind w:left="1040" w:hanging="384"/>
        <w:spacing w:after="0"/>
        <w:tabs>
          <w:tab w:leader="none" w:pos="1040" w:val="left"/>
        </w:tabs>
        <w:numPr>
          <w:ilvl w:val="0"/>
          <w:numId w:val="67"/>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97" w:lineRule="exact"/>
        <w:rPr>
          <w:sz w:val="20"/>
          <w:szCs w:val="20"/>
          <w:color w:val="auto"/>
        </w:rPr>
      </w:pPr>
    </w:p>
    <w:p>
      <w:pPr>
        <w:ind w:left="1040" w:hanging="384"/>
        <w:spacing w:after="0"/>
        <w:tabs>
          <w:tab w:leader="none" w:pos="1040" w:val="left"/>
        </w:tabs>
        <w:numPr>
          <w:ilvl w:val="0"/>
          <w:numId w:val="68"/>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5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20"/>
          </w:tcPr>
          <w:p>
            <w:pPr>
              <w:ind w:left="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106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gridSpan w:val="22"/>
          </w:tcPr>
          <w:p>
            <w:pPr>
              <w:spacing w:after="0" w:line="182"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American GP LLC, Plains AAP, L.P., PAA GP LLC and Plains All American Pipeline, L.P. (incorporated by reference to Exhibit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PAA’s Current Report on Form 8-K filed July 14, 2016).</w:t>
              </w:r>
            </w:hyperlink>
          </w:p>
        </w:tc>
        <w:tc>
          <w:tcPr>
            <w:tcW w:w="480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2.2*</w:t>
            </w:r>
          </w:p>
        </w:tc>
        <w:tc>
          <w:tcPr>
            <w:tcW w:w="1012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5">
              <w:r>
                <w:rPr>
                  <w:rFonts w:ascii="Arial" w:cs="Arial" w:eastAsia="Arial" w:hAnsi="Arial"/>
                  <w:sz w:val="18"/>
                  <w:szCs w:val="18"/>
                  <w:color w:val="0000FF"/>
                  <w:w w:val="92"/>
                </w:rPr>
                <w:t>Securities Purchase Agreement dated as of January 19, 2017 by and between COG Operating LLC, as seller, and Plains Pipeline,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L.P., as purchaser (the schedules and exhibits have been omitted pursuant to Item 601(b)(2) of Regulation S-K) (incorporated by</w:t>
              </w:r>
            </w:hyperlink>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reference to Exhibit 2.1 to PAA’s Quarterly Report on Form 10-Q for the quarter ended March 31,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2.3*</w:t>
            </w:r>
          </w:p>
        </w:tc>
        <w:tc>
          <w:tcPr>
            <w:tcW w:w="1012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56">
              <w:r>
                <w:rPr>
                  <w:rFonts w:ascii="Arial" w:cs="Arial" w:eastAsia="Arial" w:hAnsi="Arial"/>
                  <w:sz w:val="18"/>
                  <w:szCs w:val="18"/>
                  <w:color w:val="0000FF"/>
                  <w:w w:val="94"/>
                </w:rPr>
                <w:t>Securities Purchase Agreement dated as of January 19, 2017 by and between Frontier Midstream Solutions, LLC, as seller, and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Plains Pipeline, L.P., as purchaser (the schedules and exhibits have been omitted pursuant to Item 601(b)(2) of Regulation S-K)</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80" w:type="dxa"/>
            <w:vAlign w:val="bottom"/>
            <w:gridSpan w:val="13"/>
          </w:tcPr>
          <w:p>
            <w:pPr>
              <w:spacing w:after="0"/>
              <w:rPr>
                <w:rFonts w:ascii="Arial" w:cs="Arial" w:eastAsia="Arial" w:hAnsi="Arial"/>
                <w:sz w:val="18"/>
                <w:szCs w:val="18"/>
                <w:u w:val="single" w:color="auto"/>
                <w:color w:val="0000FF"/>
                <w:w w:val="95"/>
              </w:rPr>
            </w:pPr>
            <w:hyperlink r:id="rId156">
              <w:r>
                <w:rPr>
                  <w:rFonts w:ascii="Arial" w:cs="Arial" w:eastAsia="Arial" w:hAnsi="Arial"/>
                  <w:sz w:val="18"/>
                  <w:szCs w:val="18"/>
                  <w:u w:val="single" w:color="auto"/>
                  <w:color w:val="0000FF"/>
                  <w:w w:val="95"/>
                </w:rPr>
                <w:t>(incorporated by reference to Exhibit 2.2 to PAA’s Quarterly Report on Form 10-Q for the quarter ended March 31, 2017).</w:t>
              </w:r>
            </w:hyperlink>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3.1</w:t>
            </w:r>
          </w:p>
        </w:tc>
        <w:tc>
          <w:tcPr>
            <w:tcW w:w="1012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57">
              <w:r>
                <w:rPr>
                  <w:rFonts w:ascii="Arial" w:cs="Arial" w:eastAsia="Arial" w:hAnsi="Arial"/>
                  <w:sz w:val="18"/>
                  <w:szCs w:val="18"/>
                  <w:color w:val="0000FF"/>
                  <w:w w:val="94"/>
                </w:rPr>
                <w:t>Seventh Amended and Restated Agreement of Limited Partnership of Plains All American Pipeline, L.P. dated as of October 10,</w:t>
              </w:r>
            </w:hyperlink>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6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2017 (incorporated by reference to Exhibit 3.1 to PAA’s Current Report on Form 8-K filed October 12, 2017).</w:t>
              </w:r>
            </w:hyperlink>
          </w:p>
        </w:tc>
        <w:tc>
          <w:tcPr>
            <w:tcW w:w="2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0120" w:type="dxa"/>
            <w:vAlign w:val="bottom"/>
            <w:gridSpan w:val="24"/>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58">
              <w:r>
                <w:rPr>
                  <w:rFonts w:ascii="Arial" w:cs="Arial" w:eastAsia="Arial" w:hAnsi="Arial"/>
                  <w:sz w:val="18"/>
                  <w:szCs w:val="18"/>
                  <w:color w:val="0000FF"/>
                  <w:w w:val="93"/>
                </w:rPr>
                <w:t>Seventh Amended and Restated Limited Liability Company Agreement of Plains All American GP LLC dated November 15, 2016</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(incorporated by reference to Exhibit 3.3 to our Current Report on Form 8-K filed November 21, 2016).</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3.3</w:t>
            </w:r>
          </w:p>
        </w:tc>
        <w:tc>
          <w:tcPr>
            <w:tcW w:w="10120" w:type="dxa"/>
            <w:vAlign w:val="bottom"/>
            <w:gridSpan w:val="24"/>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59">
              <w:r>
                <w:rPr>
                  <w:rFonts w:ascii="Arial" w:cs="Arial" w:eastAsia="Arial" w:hAnsi="Arial"/>
                  <w:sz w:val="18"/>
                  <w:szCs w:val="18"/>
                  <w:color w:val="0000FF"/>
                  <w:w w:val="95"/>
                </w:rPr>
                <w:t>Eighth Amended and Restated Limited Partnership Agreement of Plains AAP, L.P. dated November 15, 2016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3.4</w:t>
            </w:r>
          </w:p>
        </w:tc>
        <w:tc>
          <w:tcPr>
            <w:tcW w:w="1012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60">
              <w:r>
                <w:rPr>
                  <w:rFonts w:ascii="Arial" w:cs="Arial" w:eastAsia="Arial" w:hAnsi="Arial"/>
                  <w:sz w:val="18"/>
                  <w:szCs w:val="18"/>
                  <w:color w:val="0000FF"/>
                  <w:w w:val="92"/>
                </w:rPr>
                <w:t>Amendment No. 1 dated September 26, 2018 to the Eighth Amended and Restated Limited Partnership Agreement of Plains AAP,</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L.P. (incorporated by reference to Exhibit 3.1 to our Current Report on Form 8-K filed October 2, 2018).</w:t>
              </w:r>
            </w:hyperlink>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3.5</w:t>
            </w:r>
          </w:p>
        </w:tc>
        <w:tc>
          <w:tcPr>
            <w:tcW w:w="1012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61">
              <w:r>
                <w:rPr>
                  <w:rFonts w:ascii="Arial" w:cs="Arial" w:eastAsia="Arial" w:hAnsi="Arial"/>
                  <w:sz w:val="18"/>
                  <w:szCs w:val="18"/>
                  <w:color w:val="0000FF"/>
                  <w:w w:val="94"/>
                </w:rPr>
                <w:t>Amendment No. 2 dated May 23, 2019 to the Eighth Amended and Restated Limited Partnership Agreement of Plains AAP, L.P.</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(incorporated by reference to Exhibit 3.1 to our Current Report on Form 8-K filed May 30, 2019).</w:t>
              </w:r>
            </w:hyperlink>
          </w:p>
        </w:tc>
        <w:tc>
          <w:tcPr>
            <w:tcW w:w="2220" w:type="dxa"/>
            <w:vAlign w:val="bottom"/>
            <w:tcBorders>
              <w:top w:val="single" w:sz="8" w:color="0000FF"/>
            </w:tcBorders>
            <w:gridSpan w:val="11"/>
          </w:tcPr>
          <w:p>
            <w:pPr>
              <w:spacing w:after="0"/>
              <w:rPr>
                <w:sz w:val="13"/>
                <w:szCs w:val="13"/>
                <w:color w:val="auto"/>
              </w:rPr>
            </w:pPr>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3.6</w:t>
            </w:r>
          </w:p>
        </w:tc>
        <w:tc>
          <w:tcPr>
            <w:tcW w:w="10120" w:type="dxa"/>
            <w:vAlign w:val="bottom"/>
            <w:gridSpan w:val="24"/>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62">
              <w:r>
                <w:rPr>
                  <w:rFonts w:ascii="Arial" w:cs="Arial" w:eastAsia="Arial" w:hAnsi="Arial"/>
                  <w:sz w:val="18"/>
                  <w:szCs w:val="18"/>
                  <w:color w:val="0000FF"/>
                  <w:w w:val="97"/>
                </w:rPr>
                <w:t>Limited Liability Company Agreement of PAA GP LLC dated December 28, 2007 (incorporated by reference to Exhibit 3.3 to</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PAA’s Current Report on Form 8-K filed January 4, 2008).</w:t>
              </w:r>
            </w:hyperlink>
          </w:p>
        </w:tc>
        <w:tc>
          <w:tcPr>
            <w:tcW w:w="4900" w:type="dxa"/>
            <w:vAlign w:val="bottom"/>
            <w:tcBorders>
              <w:top w:val="single" w:sz="8" w:color="0000FF"/>
            </w:tcBorders>
            <w:gridSpan w:val="9"/>
          </w:tcPr>
          <w:p>
            <w:pPr>
              <w:spacing w:after="0"/>
              <w:rPr>
                <w:sz w:val="13"/>
                <w:szCs w:val="13"/>
                <w:color w:val="auto"/>
              </w:rPr>
            </w:pPr>
          </w:p>
        </w:tc>
        <w:tc>
          <w:tcPr>
            <w:tcW w:w="4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3.7</w:t>
            </w:r>
          </w:p>
        </w:tc>
        <w:tc>
          <w:tcPr>
            <w:tcW w:w="10120" w:type="dxa"/>
            <w:vAlign w:val="bottom"/>
            <w:gridSpan w:val="24"/>
          </w:tcPr>
          <w:p>
            <w:pPr>
              <w:ind w:left="2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63">
              <w:r>
                <w:rPr>
                  <w:rFonts w:ascii="Arial" w:cs="Arial" w:eastAsia="Arial" w:hAnsi="Arial"/>
                  <w:sz w:val="18"/>
                  <w:szCs w:val="18"/>
                  <w:color w:val="0000FF"/>
                  <w:w w:val="99"/>
                </w:rPr>
                <w:t>Certificate of Limited Partnership of Plains GP Holdings, L.P. (incorporated by reference to Exhibit 3.1 to our Registration</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7"/>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3.8</w:t>
            </w:r>
          </w:p>
        </w:tc>
        <w:tc>
          <w:tcPr>
            <w:tcW w:w="10120" w:type="dxa"/>
            <w:vAlign w:val="bottom"/>
            <w:gridSpan w:val="24"/>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4">
              <w:r>
                <w:rPr>
                  <w:rFonts w:ascii="Arial" w:cs="Arial" w:eastAsia="Arial" w:hAnsi="Arial"/>
                  <w:sz w:val="18"/>
                  <w:szCs w:val="18"/>
                  <w:color w:val="0000FF"/>
                  <w:w w:val="95"/>
                </w:rPr>
                <w:t>Second Amended and Restated Agreement of Limited Partnership of Plains GP Holdings, L.P. dated as of November 15, 2016</w:t>
              </w:r>
            </w:hyperlink>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(incorporated by reference to Exhibit 3.2 to our Current Report on Form 8-K filed November 21, 2016).</w:t>
              </w:r>
            </w:hyperlink>
          </w:p>
        </w:tc>
        <w:tc>
          <w:tcPr>
            <w:tcW w:w="4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19" w:lineRule="exact"/>
        <w:rPr>
          <w:sz w:val="20"/>
          <w:szCs w:val="20"/>
          <w:color w:val="auto"/>
        </w:rPr>
      </w:pPr>
    </w:p>
    <w:p>
      <w:pPr>
        <w:ind w:left="1260" w:right="520" w:hanging="1619"/>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FF"/>
          </w:rPr>
          <w:t>Holdings, L.P. (incorporated by reference to Exhibit 3.1 to our Current Report on Form 8-K filed April 9, 2020).</w:t>
        </w:r>
      </w:hyperlink>
    </w:p>
    <w:p>
      <w:pPr>
        <w:spacing w:after="0" w:line="93" w:lineRule="exact"/>
        <w:rPr>
          <w:sz w:val="20"/>
          <w:szCs w:val="20"/>
          <w:color w:val="auto"/>
        </w:rPr>
      </w:pPr>
    </w:p>
    <w:p>
      <w:pPr>
        <w:ind w:left="1260" w:right="46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xml:space="preserve">— </w:t>
      </w:r>
      <w:hyperlink r:id="rId167">
        <w:r>
          <w:rPr>
            <w:rFonts w:ascii="Arial" w:cs="Arial" w:eastAsia="Arial" w:hAnsi="Arial"/>
            <w:sz w:val="18"/>
            <w:szCs w:val="18"/>
            <w:u w:val="single" w:color="auto"/>
            <w:color w:val="0000FF"/>
          </w:rPr>
          <w:t>Certificate of Formation of PAA GP Holdings LLC (incorporated by reference to Exhibit 3.3 to our Registration Statement on</w:t>
        </w:r>
      </w:hyperlink>
      <w:r>
        <w:rPr>
          <w:rFonts w:ascii="Arial" w:cs="Arial" w:eastAsia="Arial" w:hAnsi="Arial"/>
          <w:sz w:val="18"/>
          <w:szCs w:val="18"/>
          <w:color w:val="auto"/>
        </w:rPr>
        <w:t xml:space="preserve"> </w:t>
      </w:r>
      <w:hyperlink r:id="rId167">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jc w:val="center"/>
        <w:ind w:right="38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   </w:t>
      </w:r>
      <w:hyperlink r:id="rId168">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08" w:lineRule="exact"/>
        <w:rPr>
          <w:sz w:val="20"/>
          <w:szCs w:val="20"/>
          <w:color w:val="auto"/>
        </w:rPr>
      </w:pPr>
    </w:p>
    <w:p>
      <w:pPr>
        <w:ind w:left="1260" w:right="200" w:hanging="1619"/>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 xml:space="preserve">— </w:t>
      </w:r>
      <w:hyperlink r:id="rId169">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69">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260" w:right="220" w:hanging="1619"/>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 xml:space="preserve">— </w:t>
      </w:r>
      <w:hyperlink r:id="rId170">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70">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260" w:right="200" w:hanging="1619"/>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260" w:right="1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FF"/>
          </w:rPr>
          <w:t>Association, as trustee (incorporated by reference to Exhibit 4.1 to PAA’s Quarterly Report on Form 10-Q for the quarter ended</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260" w:right="12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as trustee (incorporated by reference to Exhibit 4.1 to PAA’s Current Report on Form 8-K filed May 12, 2006).</w:t>
        </w:r>
      </w:hyperlink>
    </w:p>
    <w:p>
      <w:pPr>
        <w:spacing w:after="0" w:line="109" w:lineRule="exact"/>
        <w:rPr>
          <w:rFonts w:ascii="Arial" w:cs="Arial" w:eastAsia="Arial" w:hAnsi="Arial"/>
          <w:sz w:val="18"/>
          <w:szCs w:val="18"/>
          <w:color w:val="auto"/>
        </w:rPr>
      </w:pPr>
    </w:p>
    <w:p>
      <w:pPr>
        <w:jc w:val="both"/>
        <w:ind w:left="1260" w:right="300" w:hanging="1619"/>
        <w:spacing w:after="0" w:line="237"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74">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74">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trustee (incorporated by reference to Exhibit 4.2 to PAA’s Current Report on Form 8-K filed October 30, 2006).</w:t>
        </w:r>
      </w:hyperlink>
    </w:p>
    <w:p>
      <w:pPr>
        <w:spacing w:after="0" w:line="109" w:lineRule="exact"/>
        <w:rPr>
          <w:rFonts w:ascii="Arial" w:cs="Arial" w:eastAsia="Arial" w:hAnsi="Arial"/>
          <w:sz w:val="17"/>
          <w:szCs w:val="17"/>
          <w:color w:val="auto"/>
        </w:rPr>
      </w:pPr>
    </w:p>
    <w:p>
      <w:pPr>
        <w:ind w:left="1260" w:right="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L.P., PAA Finance Corp. and U.S. Bank National Association, as trustee (incorporated by reference to Exhibit 4.1 to PAA’s Current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jc w:val="both"/>
        <w:ind w:left="1260" w:right="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76">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76">
        <w:r>
          <w:rPr>
            <w:rFonts w:ascii="Arial" w:cs="Arial" w:eastAsia="Arial" w:hAnsi="Arial"/>
            <w:sz w:val="18"/>
            <w:szCs w:val="18"/>
            <w:u w:val="single" w:color="auto"/>
            <w:color w:val="0000FF"/>
          </w:rPr>
          <w:t>L.P., PAA Finance Corp. and U.S. Bank National Association, as trustee (incorporated by reference to Exhibit 4.3 to PAA’s Current</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260" w:right="54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Exhibit 4.1 to PAA’s Current Report on Form 8-K filed December 12, 2012).</w:t>
        </w:r>
      </w:hyperlink>
    </w:p>
    <w:p>
      <w:pPr>
        <w:spacing w:after="0" w:line="109" w:lineRule="exact"/>
        <w:rPr>
          <w:rFonts w:ascii="Arial" w:cs="Arial" w:eastAsia="Arial" w:hAnsi="Arial"/>
          <w:sz w:val="18"/>
          <w:szCs w:val="18"/>
          <w:color w:val="auto"/>
        </w:rPr>
      </w:pPr>
    </w:p>
    <w:p>
      <w:pPr>
        <w:jc w:val="both"/>
        <w:ind w:left="1260" w:right="6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Exhibit 4.3 to PAA’s Current Report on Form 8-K filed December 12, 2012).</w:t>
        </w:r>
      </w:hyperlink>
    </w:p>
    <w:p>
      <w:pPr>
        <w:spacing w:after="0" w:line="109" w:lineRule="exact"/>
        <w:rPr>
          <w:rFonts w:ascii="Arial" w:cs="Arial" w:eastAsia="Arial" w:hAnsi="Arial"/>
          <w:sz w:val="18"/>
          <w:szCs w:val="18"/>
          <w:color w:val="auto"/>
        </w:rPr>
      </w:pPr>
    </w:p>
    <w:p>
      <w:pPr>
        <w:ind w:left="1260" w:right="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FF"/>
          </w:rPr>
          <w:t>Twenty-Fourth Supplemental Indenture (3.85% Senior Notes due 2023) dated August 15, 2013, by and among Plains All American</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Current Report on Form 8-K filed August 15, 2013).</w:t>
        </w:r>
      </w:hyperlink>
    </w:p>
    <w:p>
      <w:pPr>
        <w:spacing w:after="0" w:line="109" w:lineRule="exact"/>
        <w:rPr>
          <w:rFonts w:ascii="Arial" w:cs="Arial" w:eastAsia="Arial" w:hAnsi="Arial"/>
          <w:sz w:val="18"/>
          <w:szCs w:val="18"/>
          <w:color w:val="auto"/>
        </w:rPr>
      </w:pPr>
    </w:p>
    <w:p>
      <w:pPr>
        <w:ind w:left="1260" w:right="18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Current Report on Form 8-K filed April 29, 2014).</w:t>
        </w:r>
      </w:hyperlink>
    </w:p>
    <w:p>
      <w:pPr>
        <w:spacing w:after="0" w:line="109" w:lineRule="exact"/>
        <w:rPr>
          <w:rFonts w:ascii="Arial" w:cs="Arial" w:eastAsia="Arial" w:hAnsi="Arial"/>
          <w:sz w:val="18"/>
          <w:szCs w:val="18"/>
          <w:color w:val="auto"/>
        </w:rPr>
      </w:pPr>
    </w:p>
    <w:p>
      <w:pPr>
        <w:ind w:left="12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FF"/>
          </w:rPr>
          <w:t>Twenty-Sixth Supplemental Indenture (3.60% Senior Notes due 2024) dated September 9, 2014, by and among Plains All American</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Current Report on Form 8-K filed September 11, 2014).</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327" w:lineRule="exact"/>
        <w:rPr>
          <w:sz w:val="20"/>
          <w:szCs w:val="20"/>
          <w:color w:val="auto"/>
        </w:rPr>
      </w:pPr>
    </w:p>
    <w:p>
      <w:pPr>
        <w:jc w:val="both"/>
        <w:ind w:left="1260" w:right="68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FF"/>
          </w:rPr>
          <w:t>Twenty-Eighth Supplemental Indenture (4.90% Senior Notes due 2045) dated December 9, 2014, by and among Plains All</w:t>
        </w:r>
      </w:hyperlink>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Exhibit 4.3 to our Current Report on Form 8-K filed December 11, 2014).</w:t>
        </w:r>
      </w:hyperlink>
    </w:p>
    <w:p>
      <w:pPr>
        <w:spacing w:after="0" w:line="109" w:lineRule="exact"/>
        <w:rPr>
          <w:rFonts w:ascii="Arial" w:cs="Arial" w:eastAsia="Arial" w:hAnsi="Arial"/>
          <w:sz w:val="18"/>
          <w:szCs w:val="18"/>
          <w:color w:val="auto"/>
        </w:rPr>
      </w:pPr>
    </w:p>
    <w:p>
      <w:pPr>
        <w:ind w:left="1260" w:right="12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FF"/>
          </w:rPr>
          <w:t>Twenty-Ninth Supplemental Indenture (4.65% Senior Notes due 2025) dated August 24, 2015, by and among Plains All American</w:t>
        </w:r>
      </w:hyperlink>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PAA’s Current Report on Form 8-K filed August 26, 2015).</w:t>
        </w:r>
      </w:hyperlink>
    </w:p>
    <w:p>
      <w:pPr>
        <w:spacing w:after="0" w:line="109" w:lineRule="exact"/>
        <w:rPr>
          <w:rFonts w:ascii="Arial" w:cs="Arial" w:eastAsia="Arial" w:hAnsi="Arial"/>
          <w:sz w:val="18"/>
          <w:szCs w:val="18"/>
          <w:color w:val="auto"/>
        </w:rPr>
      </w:pPr>
    </w:p>
    <w:p>
      <w:pPr>
        <w:ind w:left="1260" w:right="2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185">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color w:val="auto"/>
        </w:rPr>
        <w:t xml:space="preserve"> </w:t>
      </w:r>
      <w:hyperlink r:id="rId185">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PAA’s Current Report on Form 8-K filed November 29, 2016).</w:t>
        </w:r>
      </w:hyperlink>
    </w:p>
    <w:p>
      <w:pPr>
        <w:spacing w:after="0" w:line="109" w:lineRule="exact"/>
        <w:rPr>
          <w:rFonts w:ascii="Arial" w:cs="Arial" w:eastAsia="Arial" w:hAnsi="Arial"/>
          <w:sz w:val="18"/>
          <w:szCs w:val="18"/>
          <w:color w:val="auto"/>
        </w:rPr>
      </w:pPr>
    </w:p>
    <w:p>
      <w:pPr>
        <w:ind w:left="1260" w:right="4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FF"/>
          </w:rPr>
          <w:t>Thirty-First Supplemental Indenture (3.55% Senior Notes due 2029) dated September 16, 2019, by and among Plains All American</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PAA’s Current Report on Form 8-K filed September 17, 2019).</w:t>
        </w:r>
      </w:hyperlink>
    </w:p>
    <w:p>
      <w:pPr>
        <w:spacing w:after="0" w:line="109" w:lineRule="exact"/>
        <w:rPr>
          <w:rFonts w:ascii="Arial" w:cs="Arial" w:eastAsia="Arial" w:hAnsi="Arial"/>
          <w:sz w:val="18"/>
          <w:szCs w:val="18"/>
          <w:color w:val="auto"/>
        </w:rPr>
      </w:pPr>
    </w:p>
    <w:p>
      <w:pPr>
        <w:ind w:left="1260" w:right="28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FF"/>
          </w:rPr>
          <w:t>Thirty-Second Supplemental Indenture (3.80% Senior Notes due 2030) dated June 11, 2020, by and among Plains All American</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FF"/>
          </w:rPr>
          <w:t>Pipeline, L.P., PAA Finance Corp. and U.S. Bank National Association, as trustee (incorporated by reference to Exhibit 4.1 to</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PAA’s Current Report on Form 8-K filed June 11, 2020).</w:t>
        </w:r>
      </w:hyperlink>
    </w:p>
    <w:p>
      <w:pPr>
        <w:spacing w:after="0" w:line="109" w:lineRule="exact"/>
        <w:rPr>
          <w:rFonts w:ascii="Arial" w:cs="Arial" w:eastAsia="Arial" w:hAnsi="Arial"/>
          <w:sz w:val="18"/>
          <w:szCs w:val="18"/>
          <w:color w:val="auto"/>
        </w:rPr>
      </w:pPr>
    </w:p>
    <w:p>
      <w:pPr>
        <w:jc w:val="right"/>
        <w:ind w:left="20" w:right="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   </w:t>
      </w:r>
      <w:hyperlink r:id="rId188">
        <w:r>
          <w:rPr>
            <w:rFonts w:ascii="Arial" w:cs="Arial" w:eastAsia="Arial" w:hAnsi="Arial"/>
            <w:sz w:val="18"/>
            <w:szCs w:val="18"/>
            <w:u w:val="single" w:color="auto"/>
            <w:color w:val="0000FF"/>
          </w:rPr>
          <w:t>Shareholder and Registration Rights Agreement dated October 21, 2013 by and among Plains GP Holdings, L.P. and the other</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FF"/>
          </w:rPr>
          <w:t>parties signatory thereto (incorporated by reference to Exhibit 4.1 to our Current Report on Form 8-K filed October 25, 2013).</w:t>
        </w:r>
      </w:hyperlink>
    </w:p>
    <w:p>
      <w:pPr>
        <w:spacing w:after="0" w:line="108"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4.17 †</w:t>
      </w:r>
      <w:r>
        <w:rPr>
          <w:sz w:val="20"/>
          <w:szCs w:val="20"/>
          <w:color w:val="auto"/>
        </w:rPr>
        <w:tab/>
      </w:r>
      <w:r>
        <w:rPr>
          <w:rFonts w:ascii="Arial" w:cs="Arial" w:eastAsia="Arial" w:hAnsi="Arial"/>
          <w:sz w:val="18"/>
          <w:szCs w:val="18"/>
          <w:color w:val="auto"/>
        </w:rPr>
        <w:t>—</w:t>
      </w:r>
      <w:r>
        <w:rPr>
          <w:sz w:val="20"/>
          <w:szCs w:val="20"/>
          <w:color w:val="auto"/>
        </w:rPr>
        <w:tab/>
      </w:r>
      <w:hyperlink w:anchor="page188">
        <w:r>
          <w:rPr>
            <w:rFonts w:ascii="Arial" w:cs="Arial" w:eastAsia="Arial" w:hAnsi="Arial"/>
            <w:sz w:val="16"/>
            <w:szCs w:val="16"/>
            <w:u w:val="single" w:color="auto"/>
            <w:color w:val="0000FF"/>
          </w:rPr>
          <w:t>Description of Our Securities.</w:t>
        </w:r>
      </w:hyperlink>
    </w:p>
    <w:p>
      <w:pPr>
        <w:spacing w:after="0" w:line="131" w:lineRule="exact"/>
        <w:rPr>
          <w:sz w:val="20"/>
          <w:szCs w:val="20"/>
          <w:color w:val="auto"/>
        </w:rPr>
      </w:pPr>
    </w:p>
    <w:p>
      <w:pPr>
        <w:ind w:left="1260" w:right="240" w:hanging="1619"/>
        <w:spacing w:after="0" w:line="219"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 </w:t>
      </w:r>
      <w:hyperlink r:id="rId189">
        <w:r>
          <w:rPr>
            <w:rFonts w:ascii="Arial" w:cs="Arial" w:eastAsia="Arial" w:hAnsi="Arial"/>
            <w:sz w:val="18"/>
            <w:szCs w:val="18"/>
            <w:u w:val="single" w:color="auto"/>
            <w:color w:val="0000FF"/>
          </w:rPr>
          <w:t>Credit Agreement dated as of August 19, 2011 among Plains All American Pipeline, L.P., as Borrower; certain subsidiaries of</w:t>
        </w:r>
      </w:hyperlink>
      <w:r>
        <w:rPr>
          <w:rFonts w:ascii="Arial" w:cs="Arial" w:eastAsia="Arial" w:hAnsi="Arial"/>
          <w:sz w:val="18"/>
          <w:szCs w:val="18"/>
          <w:color w:val="auto"/>
        </w:rPr>
        <w:t xml:space="preserve"> </w:t>
      </w:r>
      <w:hyperlink r:id="rId189">
        <w:r>
          <w:rPr>
            <w:rFonts w:ascii="Arial" w:cs="Arial" w:eastAsia="Arial" w:hAnsi="Arial"/>
            <w:sz w:val="18"/>
            <w:szCs w:val="18"/>
            <w:u w:val="single" w:color="auto"/>
            <w:color w:val="0000FF"/>
          </w:rPr>
          <w:t>Plains All American Pipeline, L.P. from time to time party thereto, as Designated Borrowers; Bank of America, N.A., as</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Administrative Agent; and the other Lenders party thereto (incorporated by reference to Exhibit 10.1 to PAA’s Current Report on</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Form 8-K filed August 25, 2011).</w:t>
        </w:r>
      </w:hyperlink>
    </w:p>
    <w:p>
      <w:pPr>
        <w:spacing w:after="0" w:line="109" w:lineRule="exact"/>
        <w:rPr>
          <w:rFonts w:ascii="Arial" w:cs="Arial" w:eastAsia="Arial" w:hAnsi="Arial"/>
          <w:sz w:val="18"/>
          <w:szCs w:val="18"/>
          <w:u w:val="single" w:color="auto"/>
          <w:color w:val="0000FF"/>
        </w:rPr>
      </w:pPr>
    </w:p>
    <w:p>
      <w:pPr>
        <w:ind w:left="1260" w:right="140" w:hanging="1619"/>
        <w:spacing w:after="0" w:line="219"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 </w:t>
      </w:r>
      <w:hyperlink r:id="rId190">
        <w:r>
          <w:rPr>
            <w:rFonts w:ascii="Arial" w:cs="Arial" w:eastAsia="Arial" w:hAnsi="Arial"/>
            <w:sz w:val="18"/>
            <w:szCs w:val="18"/>
            <w:u w:val="single" w:color="auto"/>
            <w:color w:val="0000FF"/>
          </w:rPr>
          <w:t>First Amendment to Credit Agreement dated as of June 27, 2012, among Plains All American Pipeline, L.P. and Plains Midstream</w:t>
        </w:r>
      </w:hyperlink>
      <w:r>
        <w:rPr>
          <w:rFonts w:ascii="Arial" w:cs="Arial" w:eastAsia="Arial" w:hAnsi="Arial"/>
          <w:sz w:val="18"/>
          <w:szCs w:val="18"/>
          <w:color w:val="auto"/>
        </w:rPr>
        <w:t xml:space="preserve"> </w:t>
      </w:r>
      <w:hyperlink r:id="rId190">
        <w:r>
          <w:rPr>
            <w:rFonts w:ascii="Arial" w:cs="Arial" w:eastAsia="Arial" w:hAnsi="Arial"/>
            <w:sz w:val="18"/>
            <w:szCs w:val="18"/>
            <w:u w:val="single" w:color="auto"/>
            <w:color w:val="0000FF"/>
          </w:rPr>
          <w:t>Canada ULC, as Borrowers; Bank of America, N.A., as Administrative Agent, Swing Line Lender and L/C Issuer; Wells Fargo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Bank, National Association, as an L/C Issuer; and the other Lenders party thereto (incorporated by reference to Exhibit 10.2 to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PAA’s Current Report on Form 8-K filed July 3, 2012).</w:t>
        </w:r>
      </w:hyperlink>
    </w:p>
    <w:p>
      <w:pPr>
        <w:spacing w:after="0" w:line="109" w:lineRule="exact"/>
        <w:rPr>
          <w:rFonts w:ascii="Arial" w:cs="Arial" w:eastAsia="Arial" w:hAnsi="Arial"/>
          <w:sz w:val="18"/>
          <w:szCs w:val="18"/>
          <w:u w:val="single" w:color="auto"/>
          <w:color w:val="0000FF"/>
        </w:rPr>
      </w:pPr>
    </w:p>
    <w:p>
      <w:pPr>
        <w:ind w:left="1260" w:hanging="1619"/>
        <w:spacing w:after="0" w:line="219"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 </w:t>
      </w:r>
      <w:hyperlink r:id="rId191">
        <w:r>
          <w:rPr>
            <w:rFonts w:ascii="Arial" w:cs="Arial" w:eastAsia="Arial" w:hAnsi="Arial"/>
            <w:sz w:val="18"/>
            <w:szCs w:val="18"/>
            <w:u w:val="single" w:color="auto"/>
            <w:color w:val="0000FF"/>
          </w:rPr>
          <w:t>Second Amendment to Credit Agreement dated as of August 16, 2013, among Plains All American Pipeline, L.P. and Plains</w:t>
        </w:r>
      </w:hyperlink>
      <w:r>
        <w:rPr>
          <w:rFonts w:ascii="Arial" w:cs="Arial" w:eastAsia="Arial" w:hAnsi="Arial"/>
          <w:sz w:val="18"/>
          <w:szCs w:val="18"/>
          <w:color w:val="auto"/>
        </w:rPr>
        <w:t xml:space="preserve"> </w:t>
      </w:r>
      <w:hyperlink r:id="rId191">
        <w:r>
          <w:rPr>
            <w:rFonts w:ascii="Arial" w:cs="Arial" w:eastAsia="Arial" w:hAnsi="Arial"/>
            <w:sz w:val="18"/>
            <w:szCs w:val="18"/>
            <w:u w:val="single" w:color="auto"/>
            <w:color w:val="0000FF"/>
          </w:rPr>
          <w:t>Midstream Canada ULC, as Borrowers; Bank of America, N.A., as Administrative Agent, Swing Line Lender and L/C Issuer; Wells</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Fargo Bank, National Association, as an L/C Issuer; and the other Lenders party thereto (incorporated by reference to Exhibit 10.2</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to PAA’s Current Report on Form 8-K filed August 20, 2013).</w:t>
        </w:r>
      </w:hyperlink>
    </w:p>
    <w:p>
      <w:pPr>
        <w:spacing w:after="0" w:line="109" w:lineRule="exact"/>
        <w:rPr>
          <w:rFonts w:ascii="Arial" w:cs="Arial" w:eastAsia="Arial" w:hAnsi="Arial"/>
          <w:sz w:val="18"/>
          <w:szCs w:val="18"/>
          <w:u w:val="single" w:color="auto"/>
          <w:color w:val="0000FF"/>
        </w:rPr>
      </w:pPr>
    </w:p>
    <w:p>
      <w:pPr>
        <w:ind w:left="1260" w:hanging="1619"/>
        <w:spacing w:after="0" w:line="219"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FF"/>
          </w:rPr>
          <w:t>Third Amendment to Credit Agreement dated as of August 11, 2016, among Plains All American Pipeline, L.P. and Plains</w:t>
        </w:r>
      </w:hyperlink>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FF"/>
          </w:rPr>
          <w:t>Midstream Canada ULC, as Borrowers; Bank of America, N.A., as Administrative Agent, Swing Line Lender and L/C Issuer; Wells</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Fargo Bank, National Association, as an L/C Issuer; and the other Lenders party thereto (incorporated by reference to Exhibit 10.1</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to PAA’s Current Report on Form 8-K filed August 17, 2016).</w:t>
        </w:r>
      </w:hyperlink>
    </w:p>
    <w:p>
      <w:pPr>
        <w:spacing w:after="0" w:line="109" w:lineRule="exact"/>
        <w:rPr>
          <w:rFonts w:ascii="Arial" w:cs="Arial" w:eastAsia="Arial" w:hAnsi="Arial"/>
          <w:sz w:val="18"/>
          <w:szCs w:val="18"/>
          <w:u w:val="single" w:color="auto"/>
          <w:color w:val="0000FF"/>
        </w:rPr>
      </w:pPr>
    </w:p>
    <w:p>
      <w:pPr>
        <w:jc w:val="both"/>
        <w:ind w:left="1260" w:right="280" w:hanging="1619"/>
        <w:spacing w:after="0" w:line="237"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 xml:space="preserve">— </w:t>
      </w:r>
      <w:hyperlink r:id="rId193">
        <w:r>
          <w:rPr>
            <w:rFonts w:ascii="Arial" w:cs="Arial" w:eastAsia="Arial" w:hAnsi="Arial"/>
            <w:sz w:val="17"/>
            <w:szCs w:val="17"/>
            <w:u w:val="single" w:color="auto"/>
            <w:color w:val="0000FF"/>
          </w:rPr>
          <w:t>Third Amended and Restated Credit Agreement dated as of August 19, 2011 by and among Plains Marketing, L.P., as Borrower,</w:t>
        </w:r>
      </w:hyperlink>
      <w:r>
        <w:rPr>
          <w:rFonts w:ascii="Arial" w:cs="Arial" w:eastAsia="Arial" w:hAnsi="Arial"/>
          <w:sz w:val="17"/>
          <w:szCs w:val="17"/>
          <w:color w:val="auto"/>
        </w:rPr>
        <w:t xml:space="preserve"> </w:t>
      </w:r>
      <w:hyperlink r:id="rId193">
        <w:r>
          <w:rPr>
            <w:rFonts w:ascii="Arial" w:cs="Arial" w:eastAsia="Arial" w:hAnsi="Arial"/>
            <w:sz w:val="17"/>
            <w:szCs w:val="17"/>
            <w:u w:val="single" w:color="auto"/>
            <w:color w:val="0000FF"/>
          </w:rPr>
          <w:t>Plains All American Pipeline, L.P., as Guarantor, Bank of America, N.A., as Administrative Agent, and the other Lenders party</w:t>
        </w:r>
      </w:hyperlink>
      <w:r>
        <w:rPr>
          <w:rFonts w:ascii="Arial" w:cs="Arial" w:eastAsia="Arial" w:hAnsi="Arial"/>
          <w:sz w:val="17"/>
          <w:szCs w:val="17"/>
          <w:u w:val="single" w:color="auto"/>
          <w:color w:val="0000FF"/>
        </w:rPr>
        <w:t xml:space="preserve"> </w:t>
      </w:r>
      <w:hyperlink r:id="rId193">
        <w:r>
          <w:rPr>
            <w:rFonts w:ascii="Arial" w:cs="Arial" w:eastAsia="Arial" w:hAnsi="Arial"/>
            <w:sz w:val="17"/>
            <w:szCs w:val="17"/>
            <w:u w:val="single" w:color="auto"/>
            <w:color w:val="0000FF"/>
          </w:rPr>
          <w:t>thereto (incorporated by reference to Exhibit 10.2 to PAA’s Current Report on Form 8-K filed August 25, 2011).</w:t>
        </w:r>
      </w:hyperlink>
    </w:p>
    <w:p>
      <w:pPr>
        <w:spacing w:after="0" w:line="109" w:lineRule="exact"/>
        <w:rPr>
          <w:rFonts w:ascii="Arial" w:cs="Arial" w:eastAsia="Arial" w:hAnsi="Arial"/>
          <w:sz w:val="17"/>
          <w:szCs w:val="17"/>
          <w:color w:val="auto"/>
        </w:rPr>
      </w:pPr>
    </w:p>
    <w:p>
      <w:pPr>
        <w:ind w:left="1260" w:right="160" w:hanging="1619"/>
        <w:spacing w:after="0" w:line="219"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FF"/>
          </w:rPr>
          <w:t>First Amendment to Third Amended and Restated Credit Agreement dated as of June 27, 2012, among Plains Marketing, L.P. and</w:t>
        </w:r>
      </w:hyperlink>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Administrative Agent, Swing Line Lender and L/C Issuer; and the other Lenders and L/C Issuers party thereto (incorporated by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reference to Exhibit 10.1 to PAA’s Current Report on Form 8-K filed July 3, 2012).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7"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19" w:lineRule="exact"/>
        <w:rPr>
          <w:sz w:val="20"/>
          <w:szCs w:val="20"/>
          <w:color w:val="auto"/>
        </w:rPr>
      </w:pPr>
    </w:p>
    <w:p>
      <w:pPr>
        <w:ind w:left="1260" w:right="80" w:hanging="1619"/>
        <w:spacing w:after="0" w:line="21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FF"/>
          </w:rPr>
          <w:t>Second Amendment to Third Amended and Restated Credit Agreement dated as of August 16, 2013, among Plains Marketing, L.P.</w:t>
        </w:r>
      </w:hyperlink>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FF"/>
          </w:rPr>
          <w:t>and 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Lenders and L/C Issuers party thereto (incorporated by reference to Exhibit 10.1 to PAA’s Current Report on Form 8-K filed</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August 20, 2013).</w:t>
        </w:r>
      </w:hyperlink>
    </w:p>
    <w:p>
      <w:pPr>
        <w:spacing w:after="0" w:line="108" w:lineRule="exact"/>
        <w:rPr>
          <w:rFonts w:ascii="Arial" w:cs="Arial" w:eastAsia="Arial" w:hAnsi="Arial"/>
          <w:sz w:val="18"/>
          <w:szCs w:val="18"/>
          <w:u w:val="single" w:color="auto"/>
          <w:color w:val="0000FF"/>
        </w:rPr>
      </w:pPr>
    </w:p>
    <w:p>
      <w:pPr>
        <w:ind w:left="1260" w:hanging="1619"/>
        <w:spacing w:after="0" w:line="21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97">
        <w:r>
          <w:rPr>
            <w:rFonts w:ascii="Arial" w:cs="Arial" w:eastAsia="Arial" w:hAnsi="Arial"/>
            <w:sz w:val="18"/>
            <w:szCs w:val="18"/>
            <w:u w:val="single" w:color="auto"/>
            <w:color w:val="0000FF"/>
          </w:rPr>
          <w:t>Third Amendment to Third Amended and Restated Credit Agreement dated as of August 11, 2016, among Plains Marketing, L.P.</w:t>
        </w:r>
      </w:hyperlink>
      <w:r>
        <w:rPr>
          <w:rFonts w:ascii="Arial" w:cs="Arial" w:eastAsia="Arial" w:hAnsi="Arial"/>
          <w:sz w:val="18"/>
          <w:szCs w:val="18"/>
          <w:color w:val="auto"/>
        </w:rPr>
        <w:t xml:space="preserve"> </w:t>
      </w:r>
      <w:hyperlink r:id="rId197">
        <w:r>
          <w:rPr>
            <w:rFonts w:ascii="Arial" w:cs="Arial" w:eastAsia="Arial" w:hAnsi="Arial"/>
            <w:sz w:val="18"/>
            <w:szCs w:val="18"/>
            <w:u w:val="single" w:color="auto"/>
            <w:color w:val="0000FF"/>
          </w:rPr>
          <w:t>and 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Lenders and L/C Issuers party thereto (incorporated by reference to Exhibit 10.3 to PAA’s Current Report on Form 8-K filed August</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17, 2016).</w:t>
        </w:r>
      </w:hyperlink>
    </w:p>
    <w:p>
      <w:pPr>
        <w:spacing w:after="0" w:line="108" w:lineRule="exact"/>
        <w:rPr>
          <w:rFonts w:ascii="Arial" w:cs="Arial" w:eastAsia="Arial" w:hAnsi="Arial"/>
          <w:sz w:val="18"/>
          <w:szCs w:val="18"/>
          <w:u w:val="single" w:color="auto"/>
          <w:color w:val="0000FF"/>
        </w:rPr>
      </w:pPr>
    </w:p>
    <w:p>
      <w:pPr>
        <w:ind w:left="1260" w:right="80" w:hanging="1619"/>
        <w:spacing w:after="0" w:line="21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198">
        <w:r>
          <w:rPr>
            <w:rFonts w:ascii="Arial" w:cs="Arial" w:eastAsia="Arial" w:hAnsi="Arial"/>
            <w:sz w:val="18"/>
            <w:szCs w:val="18"/>
            <w:u w:val="single" w:color="auto"/>
            <w:color w:val="0000FF"/>
          </w:rPr>
          <w:t>Fourth Amendment to Third Amended and Restated Credit Agreement dated as of August 16, 2017, among Plains Marketing, L.P.</w:t>
        </w:r>
      </w:hyperlink>
      <w:r>
        <w:rPr>
          <w:rFonts w:ascii="Arial" w:cs="Arial" w:eastAsia="Arial" w:hAnsi="Arial"/>
          <w:sz w:val="18"/>
          <w:szCs w:val="18"/>
          <w:color w:val="auto"/>
        </w:rPr>
        <w:t xml:space="preserve"> </w:t>
      </w:r>
      <w:hyperlink r:id="rId198">
        <w:r>
          <w:rPr>
            <w:rFonts w:ascii="Arial" w:cs="Arial" w:eastAsia="Arial" w:hAnsi="Arial"/>
            <w:sz w:val="18"/>
            <w:szCs w:val="18"/>
            <w:u w:val="single" w:color="auto"/>
            <w:color w:val="0000FF"/>
          </w:rPr>
          <w:t>and 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Lenders and L/C Issuers party thereto (incorporated by reference to Exhibit 10.6 to our Quarterly Report on Form 10-Q for the</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quarter ended September 30, 2017).</w:t>
        </w:r>
      </w:hyperlink>
    </w:p>
    <w:p>
      <w:pPr>
        <w:spacing w:after="0" w:line="108" w:lineRule="exact"/>
        <w:rPr>
          <w:rFonts w:ascii="Arial" w:cs="Arial" w:eastAsia="Arial" w:hAnsi="Arial"/>
          <w:sz w:val="18"/>
          <w:szCs w:val="18"/>
          <w:u w:val="single" w:color="auto"/>
          <w:color w:val="0000FF"/>
        </w:rPr>
      </w:pPr>
    </w:p>
    <w:p>
      <w:pPr>
        <w:ind w:left="1260" w:right="840" w:hanging="1619"/>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 xml:space="preserve">— </w:t>
      </w:r>
      <w:hyperlink r:id="rId199">
        <w:r>
          <w:rPr>
            <w:rFonts w:ascii="Arial" w:cs="Arial" w:eastAsia="Arial" w:hAnsi="Arial"/>
            <w:sz w:val="17"/>
            <w:szCs w:val="17"/>
            <w:u w:val="single" w:color="auto"/>
            <w:color w:val="0000FF"/>
          </w:rPr>
          <w:t>Contribution and Assumption Agreement dated December 28, 2007, by and between Plains AAP, L.P. and PAA GP LLC</w:t>
        </w:r>
      </w:hyperlink>
      <w:r>
        <w:rPr>
          <w:rFonts w:ascii="Arial" w:cs="Arial" w:eastAsia="Arial" w:hAnsi="Arial"/>
          <w:sz w:val="17"/>
          <w:szCs w:val="17"/>
          <w:color w:val="auto"/>
        </w:rPr>
        <w:t xml:space="preserve"> </w:t>
      </w:r>
      <w:hyperlink r:id="rId199">
        <w:r>
          <w:rPr>
            <w:rFonts w:ascii="Arial" w:cs="Arial" w:eastAsia="Arial" w:hAnsi="Arial"/>
            <w:sz w:val="17"/>
            <w:szCs w:val="17"/>
            <w:u w:val="single" w:color="auto"/>
            <w:color w:val="0000FF"/>
          </w:rPr>
          <w:t>(incorporated by reference to Exhibit 10.2 to PAA’s Current Report on Form 8-K filed January 4, 2008).</w:t>
        </w:r>
      </w:hyperlink>
    </w:p>
    <w:p>
      <w:pPr>
        <w:spacing w:after="0" w:line="93" w:lineRule="exact"/>
        <w:rPr>
          <w:sz w:val="20"/>
          <w:szCs w:val="20"/>
          <w:color w:val="auto"/>
        </w:rPr>
      </w:pPr>
    </w:p>
    <w:p>
      <w:pPr>
        <w:jc w:val="both"/>
        <w:ind w:left="1260" w:right="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FF"/>
          </w:rPr>
          <w:t>Omnibus Agreement by and among PAA GP Holdings LLC, Plains GP Holdings, L.P., Plains All American GP LLC, Plains AAP,</w:t>
        </w:r>
      </w:hyperlink>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FF"/>
          </w:rPr>
          <w:t>L.P., PAA GP LLC, and Plains All American Pipeline, L.P., dated November 15, 2016 (incorporated by reference to Exhibit 10.1 to</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our Current Report on Form 8-K filed November 21, 2016).</w:t>
        </w:r>
      </w:hyperlink>
    </w:p>
    <w:p>
      <w:pPr>
        <w:spacing w:after="0" w:line="109" w:lineRule="exact"/>
        <w:rPr>
          <w:rFonts w:ascii="Arial" w:cs="Arial" w:eastAsia="Arial" w:hAnsi="Arial"/>
          <w:sz w:val="18"/>
          <w:szCs w:val="18"/>
          <w:color w:val="auto"/>
        </w:rPr>
      </w:pPr>
    </w:p>
    <w:p>
      <w:pPr>
        <w:ind w:left="1260" w:right="38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 </w:t>
      </w:r>
      <w:hyperlink r:id="rId201">
        <w:r>
          <w:rPr>
            <w:rFonts w:ascii="Arial" w:cs="Arial" w:eastAsia="Arial" w:hAnsi="Arial"/>
            <w:sz w:val="18"/>
            <w:szCs w:val="18"/>
            <w:u w:val="single" w:color="auto"/>
            <w:color w:val="0000FF"/>
          </w:rPr>
          <w:t>Amended and Restated Administrative Agreement by and among PAA GP Holdings LLC, Plains GP Holdings, L.P., Plains All</w:t>
        </w:r>
      </w:hyperlink>
      <w:r>
        <w:rPr>
          <w:rFonts w:ascii="Arial" w:cs="Arial" w:eastAsia="Arial" w:hAnsi="Arial"/>
          <w:sz w:val="18"/>
          <w:szCs w:val="18"/>
          <w:color w:val="auto"/>
        </w:rPr>
        <w:t xml:space="preserve"> </w:t>
      </w:r>
      <w:hyperlink r:id="rId201">
        <w:r>
          <w:rPr>
            <w:rFonts w:ascii="Arial" w:cs="Arial" w:eastAsia="Arial" w:hAnsi="Arial"/>
            <w:sz w:val="18"/>
            <w:szCs w:val="18"/>
            <w:u w:val="single" w:color="auto"/>
            <w:color w:val="0000FF"/>
          </w:rPr>
          <w:t>American GP LLC, Plains AAP, L.P., PAA GP LLC, and Plains All American Pipeline, L.P., dated November 15, 2016</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(incorporated by reference to Exhibit 10.2 to our Current Report on Form 8-K filed November 21, 2016).</w:t>
        </w:r>
      </w:hyperlink>
    </w:p>
    <w:p>
      <w:pPr>
        <w:spacing w:after="0" w:line="93" w:lineRule="exact"/>
        <w:rPr>
          <w:rFonts w:ascii="Arial" w:cs="Arial" w:eastAsia="Arial" w:hAnsi="Arial"/>
          <w:sz w:val="18"/>
          <w:szCs w:val="18"/>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w:t>
      </w:r>
      <w:r>
        <w:rPr>
          <w:sz w:val="20"/>
          <w:szCs w:val="20"/>
          <w:color w:val="auto"/>
        </w:rPr>
        <w:tab/>
      </w:r>
      <w:hyperlink r:id="rId202">
        <w:r>
          <w:rPr>
            <w:rFonts w:ascii="Arial" w:cs="Arial" w:eastAsia="Arial" w:hAnsi="Arial"/>
            <w:sz w:val="16"/>
            <w:szCs w:val="16"/>
            <w:u w:val="single" w:color="auto"/>
            <w:color w:val="0000FF"/>
          </w:rPr>
          <w:t>Amended and Restated Employment Agreement between Plains All American GP LLC and Greg L. Armstrong dated as of June 30,</w:t>
        </w:r>
      </w:hyperlink>
    </w:p>
    <w:p>
      <w:pPr>
        <w:ind w:left="1640"/>
        <w:spacing w:after="0" w:line="215" w:lineRule="auto"/>
        <w:rPr>
          <w:rFonts w:ascii="Arial" w:cs="Arial" w:eastAsia="Arial" w:hAnsi="Arial"/>
          <w:sz w:val="17"/>
          <w:szCs w:val="17"/>
          <w:u w:val="single" w:color="auto"/>
          <w:color w:val="0000FF"/>
        </w:rPr>
      </w:pPr>
      <w:hyperlink r:id="rId202">
        <w:r>
          <w:rPr>
            <w:rFonts w:ascii="Arial" w:cs="Arial" w:eastAsia="Arial" w:hAnsi="Arial"/>
            <w:sz w:val="17"/>
            <w:szCs w:val="17"/>
            <w:u w:val="single" w:color="auto"/>
            <w:color w:val="0000FF"/>
          </w:rPr>
          <w:t>2001 (incorporated by reference to Exhibit 10.1 to PAA’s Quarterly Report on Form 10-Q for the quarter ended September 30,</w:t>
        </w:r>
      </w:hyperlink>
    </w:p>
    <w:p>
      <w:pPr>
        <w:ind w:left="1640"/>
        <w:spacing w:after="0"/>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2001).</w:t>
        </w:r>
      </w:hyperlink>
    </w:p>
    <w:p>
      <w:pPr>
        <w:spacing w:after="0" w:line="99" w:lineRule="exact"/>
        <w:rPr>
          <w:rFonts w:ascii="Arial" w:cs="Arial" w:eastAsia="Arial" w:hAnsi="Arial"/>
          <w:sz w:val="18"/>
          <w:szCs w:val="18"/>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w:t>
      </w:r>
      <w:r>
        <w:rPr>
          <w:sz w:val="20"/>
          <w:szCs w:val="20"/>
          <w:color w:val="auto"/>
        </w:rPr>
        <w:tab/>
      </w:r>
      <w:hyperlink r:id="rId203">
        <w:r>
          <w:rPr>
            <w:rFonts w:ascii="Arial" w:cs="Arial" w:eastAsia="Arial" w:hAnsi="Arial"/>
            <w:sz w:val="16"/>
            <w:szCs w:val="16"/>
            <w:u w:val="single" w:color="auto"/>
            <w:color w:val="0000FF"/>
          </w:rPr>
          <w:t>First Amendment to Amended and Restated Employment Agreement dated December 4, 2008 between Plains All</w:t>
        </w:r>
      </w:hyperlink>
    </w:p>
    <w:p>
      <w:pPr>
        <w:ind w:left="1640" w:right="140"/>
        <w:spacing w:after="0" w:line="226"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American GP LLC and Greg L. Armstrong (incorporated by reference to Exhibit 10.49 to PAA’s Annual Report on Form 10-K for</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the year ended December 31, 2008).</w:t>
        </w:r>
      </w:hyperlink>
    </w:p>
    <w:p>
      <w:pPr>
        <w:spacing w:after="0" w:line="107" w:lineRule="exact"/>
        <w:rPr>
          <w:sz w:val="20"/>
          <w:szCs w:val="20"/>
          <w:color w:val="auto"/>
        </w:rPr>
      </w:pPr>
    </w:p>
    <w:p>
      <w:pPr>
        <w:jc w:val="center"/>
        <w:ind w:right="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   </w:t>
      </w:r>
      <w:hyperlink r:id="rId204">
        <w:r>
          <w:rPr>
            <w:rFonts w:ascii="Arial" w:cs="Arial" w:eastAsia="Arial" w:hAnsi="Arial"/>
            <w:sz w:val="18"/>
            <w:szCs w:val="18"/>
            <w:u w:val="single" w:color="auto"/>
            <w:color w:val="0000FF"/>
          </w:rPr>
          <w:t>Waiver Agreement dated as of December 23, 2010 between Plains All American GP LLC and Greg L. Armstrong (incorporated by</w:t>
        </w:r>
      </w:hyperlink>
      <w:r>
        <w:rPr>
          <w:rFonts w:ascii="Arial" w:cs="Arial" w:eastAsia="Arial" w:hAnsi="Arial"/>
          <w:sz w:val="18"/>
          <w:szCs w:val="18"/>
          <w:color w:val="auto"/>
        </w:rPr>
        <w:t xml:space="preserve"> </w:t>
      </w:r>
      <w:hyperlink r:id="rId204">
        <w:r>
          <w:rPr>
            <w:rFonts w:ascii="Arial" w:cs="Arial" w:eastAsia="Arial" w:hAnsi="Arial"/>
            <w:sz w:val="18"/>
            <w:szCs w:val="18"/>
            <w:u w:val="single" w:color="auto"/>
            <w:color w:val="0000FF"/>
          </w:rPr>
          <w:t>reference to Exhibit 10.31 to PAA’s Annual Report on Form 10-K for the year ended December 31, 2010).</w:t>
        </w:r>
      </w:hyperlink>
    </w:p>
    <w:p>
      <w:pPr>
        <w:spacing w:after="0" w:line="92"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w:t>
      </w:r>
      <w:r>
        <w:rPr>
          <w:sz w:val="20"/>
          <w:szCs w:val="20"/>
          <w:color w:val="auto"/>
        </w:rPr>
        <w:tab/>
      </w:r>
      <w:hyperlink r:id="rId205">
        <w:r>
          <w:rPr>
            <w:rFonts w:ascii="Arial" w:cs="Arial" w:eastAsia="Arial" w:hAnsi="Arial"/>
            <w:sz w:val="16"/>
            <w:szCs w:val="16"/>
            <w:u w:val="single" w:color="auto"/>
            <w:color w:val="0000FF"/>
          </w:rPr>
          <w:t>Waiver Agreement dated October 21, 2013 to the Amended and Restated Employment Agreement dated June 30, 2001 of Greg L.</w:t>
        </w:r>
      </w:hyperlink>
    </w:p>
    <w:p>
      <w:pPr>
        <w:ind w:left="1640"/>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Armstrong (incorporated by reference to Exhibit 10.4 to our Current Report on Form 8-K filed October 25, 2013).</w:t>
        </w:r>
      </w:hyperlink>
    </w:p>
    <w:p>
      <w:pPr>
        <w:spacing w:after="0" w:line="115" w:lineRule="exact"/>
        <w:rPr>
          <w:sz w:val="20"/>
          <w:szCs w:val="20"/>
          <w:color w:val="auto"/>
        </w:rPr>
      </w:pPr>
    </w:p>
    <w:p>
      <w:pPr>
        <w:ind w:left="1260" w:right="2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FF"/>
          </w:rPr>
          <w:t>Second Amended and Restated Employment Agreement dated effective October 1, 2018 between Plains All American GP LLC and</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FF"/>
          </w:rPr>
          <w:t>Greg L. Armstrong (incorporated by reference to Exhibit 10.6 to our Quarterly Report on Form 10-Q for the quarter ended</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September 30, 2018).</w:t>
        </w:r>
      </w:hyperlink>
    </w:p>
    <w:p>
      <w:pPr>
        <w:spacing w:after="0" w:line="109" w:lineRule="exact"/>
        <w:rPr>
          <w:rFonts w:ascii="Arial" w:cs="Arial" w:eastAsia="Arial" w:hAnsi="Arial"/>
          <w:sz w:val="18"/>
          <w:szCs w:val="18"/>
          <w:color w:val="auto"/>
        </w:rPr>
      </w:pPr>
    </w:p>
    <w:p>
      <w:pPr>
        <w:jc w:val="both"/>
        <w:ind w:left="1260" w:right="1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xml:space="preserve">— </w:t>
      </w:r>
      <w:hyperlink r:id="rId207">
        <w:r>
          <w:rPr>
            <w:rFonts w:ascii="Arial" w:cs="Arial" w:eastAsia="Arial" w:hAnsi="Arial"/>
            <w:sz w:val="18"/>
            <w:szCs w:val="18"/>
            <w:u w:val="single" w:color="auto"/>
            <w:color w:val="0000FF"/>
          </w:rPr>
          <w:t>Third Amended and Restated Employment Agreement dated effective January 1, 2020 between Plains All American GP LLC and</w:t>
        </w:r>
      </w:hyperlink>
      <w:r>
        <w:rPr>
          <w:rFonts w:ascii="Arial" w:cs="Arial" w:eastAsia="Arial" w:hAnsi="Arial"/>
          <w:sz w:val="18"/>
          <w:szCs w:val="18"/>
          <w:color w:val="auto"/>
        </w:rPr>
        <w:t xml:space="preserve"> </w:t>
      </w:r>
      <w:hyperlink r:id="rId207">
        <w:r>
          <w:rPr>
            <w:rFonts w:ascii="Arial" w:cs="Arial" w:eastAsia="Arial" w:hAnsi="Arial"/>
            <w:sz w:val="18"/>
            <w:szCs w:val="18"/>
            <w:u w:val="single" w:color="auto"/>
            <w:color w:val="0000FF"/>
          </w:rPr>
          <w:t>Greg L. Armstrong (incorporated by reference to Exhibit 10.31 to our Annual Report on Form 10-K for the year ended December</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31, 2019).</w:t>
        </w:r>
      </w:hyperlink>
    </w:p>
    <w:p>
      <w:pPr>
        <w:spacing w:after="0" w:line="93" w:lineRule="exact"/>
        <w:rPr>
          <w:rFonts w:ascii="Arial" w:cs="Arial" w:eastAsia="Arial" w:hAnsi="Arial"/>
          <w:sz w:val="18"/>
          <w:szCs w:val="18"/>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w:t>
      </w:r>
      <w:r>
        <w:rPr>
          <w:sz w:val="20"/>
          <w:szCs w:val="20"/>
          <w:color w:val="auto"/>
        </w:rPr>
        <w:tab/>
      </w:r>
      <w:hyperlink r:id="rId208">
        <w:r>
          <w:rPr>
            <w:rFonts w:ascii="Arial" w:cs="Arial" w:eastAsia="Arial" w:hAnsi="Arial"/>
            <w:sz w:val="16"/>
            <w:szCs w:val="16"/>
            <w:u w:val="single" w:color="auto"/>
            <w:color w:val="0000FF"/>
          </w:rPr>
          <w:t>Amended and Restated Employment Agreement between Plains All American GP LLC and Harry N. Pefanis dated as of June 30,</w:t>
        </w:r>
      </w:hyperlink>
    </w:p>
    <w:p>
      <w:pPr>
        <w:ind w:left="1640"/>
        <w:spacing w:after="0" w:line="215" w:lineRule="auto"/>
        <w:rPr>
          <w:rFonts w:ascii="Arial" w:cs="Arial" w:eastAsia="Arial" w:hAnsi="Arial"/>
          <w:sz w:val="17"/>
          <w:szCs w:val="17"/>
          <w:u w:val="single" w:color="auto"/>
          <w:color w:val="0000FF"/>
        </w:rPr>
      </w:pPr>
      <w:hyperlink r:id="rId208">
        <w:r>
          <w:rPr>
            <w:rFonts w:ascii="Arial" w:cs="Arial" w:eastAsia="Arial" w:hAnsi="Arial"/>
            <w:sz w:val="17"/>
            <w:szCs w:val="17"/>
            <w:u w:val="single" w:color="auto"/>
            <w:color w:val="0000FF"/>
          </w:rPr>
          <w:t>2001 (incorporated by reference to Exhibit 10.2 to PAA’s Quarterly Report on Form 10-Q for the quarter ended September 30,</w:t>
        </w:r>
      </w:hyperlink>
    </w:p>
    <w:p>
      <w:pPr>
        <w:ind w:left="1640"/>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2001).</w:t>
        </w:r>
      </w:hyperlink>
    </w:p>
    <w:p>
      <w:pPr>
        <w:spacing w:after="0" w:line="99" w:lineRule="exact"/>
        <w:rPr>
          <w:rFonts w:ascii="Arial" w:cs="Arial" w:eastAsia="Arial" w:hAnsi="Arial"/>
          <w:sz w:val="18"/>
          <w:szCs w:val="18"/>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w:t>
      </w:r>
      <w:r>
        <w:rPr>
          <w:sz w:val="20"/>
          <w:szCs w:val="20"/>
          <w:color w:val="auto"/>
        </w:rPr>
        <w:tab/>
      </w:r>
      <w:hyperlink r:id="rId209">
        <w:r>
          <w:rPr>
            <w:rFonts w:ascii="Arial" w:cs="Arial" w:eastAsia="Arial" w:hAnsi="Arial"/>
            <w:sz w:val="16"/>
            <w:szCs w:val="16"/>
            <w:u w:val="single" w:color="auto"/>
            <w:color w:val="0000FF"/>
          </w:rPr>
          <w:t>First Amendment to Amended and Restated Employment Agreement dated December 4, 2008 between Plains All</w:t>
        </w:r>
      </w:hyperlink>
    </w:p>
    <w:p>
      <w:pPr>
        <w:ind w:left="1640" w:right="40"/>
        <w:spacing w:after="0" w:line="226"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American GP LLC and Harry N. Pefanis (incorporated by reference to Exhibit 10.50 to PAA’s Annual Report on Form 10-K for the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year ended December 31, 2008).</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19" w:lineRule="exact"/>
        <w:rPr>
          <w:sz w:val="20"/>
          <w:szCs w:val="20"/>
          <w:color w:val="auto"/>
        </w:rPr>
      </w:pPr>
    </w:p>
    <w:p>
      <w:pPr>
        <w:ind w:left="1260" w:right="460" w:hanging="1619"/>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 xml:space="preserve">— </w:t>
      </w:r>
      <w:hyperlink r:id="rId211">
        <w:r>
          <w:rPr>
            <w:rFonts w:ascii="Arial" w:cs="Arial" w:eastAsia="Arial" w:hAnsi="Arial"/>
            <w:sz w:val="17"/>
            <w:szCs w:val="17"/>
            <w:u w:val="single" w:color="auto"/>
            <w:color w:val="0000FF"/>
          </w:rPr>
          <w:t>Amendment No. 2 dated August 15, 2019 to Harry Pefanis Amended and Restated Employment Agreement (incorporated by</w:t>
        </w:r>
      </w:hyperlink>
      <w:r>
        <w:rPr>
          <w:rFonts w:ascii="Arial" w:cs="Arial" w:eastAsia="Arial" w:hAnsi="Arial"/>
          <w:sz w:val="17"/>
          <w:szCs w:val="17"/>
          <w:color w:val="auto"/>
        </w:rPr>
        <w:t xml:space="preserve"> </w:t>
      </w:r>
      <w:hyperlink r:id="rId211">
        <w:r>
          <w:rPr>
            <w:rFonts w:ascii="Arial" w:cs="Arial" w:eastAsia="Arial" w:hAnsi="Arial"/>
            <w:sz w:val="17"/>
            <w:szCs w:val="17"/>
            <w:u w:val="single" w:color="auto"/>
            <w:color w:val="0000FF"/>
          </w:rPr>
          <w:t>reference to Exhibit 10.1 to our Quarterly Report on Form 10-Q for the quarter ended September 30, 2019).</w:t>
        </w:r>
      </w:hyperlink>
    </w:p>
    <w:p>
      <w:pPr>
        <w:spacing w:after="0" w:line="77"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w:t>
      </w:r>
      <w:r>
        <w:rPr>
          <w:sz w:val="20"/>
          <w:szCs w:val="20"/>
          <w:color w:val="auto"/>
        </w:rPr>
        <w:tab/>
      </w:r>
      <w:hyperlink r:id="rId212">
        <w:r>
          <w:rPr>
            <w:rFonts w:ascii="Arial" w:cs="Arial" w:eastAsia="Arial" w:hAnsi="Arial"/>
            <w:sz w:val="16"/>
            <w:szCs w:val="16"/>
            <w:u w:val="single" w:color="auto"/>
            <w:color w:val="0000FF"/>
          </w:rPr>
          <w:t>Waiver Agreement dated as of December 23, 2010 between Plains All American GP LLC and Harry N. Pefanis (incorporated by</w:t>
        </w:r>
      </w:hyperlink>
    </w:p>
    <w:p>
      <w:pPr>
        <w:jc w:val="center"/>
        <w:ind w:right="180"/>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reference to Exhibit 10.32 to PAA’s Annual Report on Form 10-K for the year ended December 31, 2010).</w:t>
        </w:r>
      </w:hyperlink>
    </w:p>
    <w:p>
      <w:pPr>
        <w:spacing w:after="0" w:line="99" w:lineRule="exact"/>
        <w:rPr>
          <w:sz w:val="20"/>
          <w:szCs w:val="20"/>
          <w:color w:val="auto"/>
        </w:rPr>
      </w:pPr>
    </w:p>
    <w:p>
      <w:pPr>
        <w:jc w:val="center"/>
        <w:ind w:right="20"/>
        <w:spacing w:after="0"/>
        <w:tabs>
          <w:tab w:leader="none" w:pos="620" w:val="left"/>
          <w:tab w:leader="none" w:pos="18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w:t>
      </w:r>
      <w:r>
        <w:rPr>
          <w:sz w:val="20"/>
          <w:szCs w:val="20"/>
          <w:color w:val="auto"/>
        </w:rPr>
        <w:tab/>
      </w:r>
      <w:hyperlink r:id="rId213">
        <w:r>
          <w:rPr>
            <w:rFonts w:ascii="Arial" w:cs="Arial" w:eastAsia="Arial" w:hAnsi="Arial"/>
            <w:sz w:val="16"/>
            <w:szCs w:val="16"/>
            <w:u w:val="single" w:color="auto"/>
            <w:color w:val="0000FF"/>
          </w:rPr>
          <w:t>Waiver Agreement dated October 21, 2013 to the Amended and Restated Employment Agreement dated June 30, 2001 of Harry N.</w:t>
        </w:r>
      </w:hyperlink>
    </w:p>
    <w:p>
      <w:pPr>
        <w:jc w:val="center"/>
        <w:ind w:right="-139"/>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Pefanis (incorporated by reference to Exhibit 10.5 to our Current Report on Form 8-K filed October 25, 2013).</w:t>
        </w:r>
      </w:hyperlink>
    </w:p>
    <w:p>
      <w:pPr>
        <w:spacing w:after="0" w:line="115" w:lineRule="exact"/>
        <w:rPr>
          <w:sz w:val="20"/>
          <w:szCs w:val="20"/>
          <w:color w:val="auto"/>
        </w:rPr>
      </w:pPr>
    </w:p>
    <w:p>
      <w:pPr>
        <w:ind w:left="1260" w:right="12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xml:space="preserve">— </w:t>
      </w:r>
      <w:hyperlink r:id="rId214">
        <w:r>
          <w:rPr>
            <w:rFonts w:ascii="Arial" w:cs="Arial" w:eastAsia="Arial" w:hAnsi="Arial"/>
            <w:sz w:val="18"/>
            <w:szCs w:val="18"/>
            <w:u w:val="single" w:color="auto"/>
            <w:color w:val="0000FF"/>
          </w:rPr>
          <w:t>Employment Agreement between Plains All American GP LLC and Willie Chiang dated July 10, 2015 (incorporated by reference</w:t>
        </w:r>
      </w:hyperlink>
      <w:r>
        <w:rPr>
          <w:rFonts w:ascii="Arial" w:cs="Arial" w:eastAsia="Arial" w:hAnsi="Arial"/>
          <w:sz w:val="18"/>
          <w:szCs w:val="18"/>
          <w:color w:val="auto"/>
        </w:rPr>
        <w:t xml:space="preserve"> </w:t>
      </w:r>
      <w:hyperlink r:id="rId214">
        <w:r>
          <w:rPr>
            <w:rFonts w:ascii="Arial" w:cs="Arial" w:eastAsia="Arial" w:hAnsi="Arial"/>
            <w:sz w:val="18"/>
            <w:szCs w:val="18"/>
            <w:u w:val="single" w:color="auto"/>
            <w:color w:val="0000FF"/>
          </w:rPr>
          <w:t>to Exhibit 10.53 to PAA’s Annual Report on Form 10-K for the year ended December 31, 2015).</w:t>
        </w:r>
      </w:hyperlink>
    </w:p>
    <w:p>
      <w:pPr>
        <w:spacing w:after="0" w:line="108" w:lineRule="exact"/>
        <w:rPr>
          <w:sz w:val="20"/>
          <w:szCs w:val="20"/>
          <w:color w:val="auto"/>
        </w:rPr>
      </w:pPr>
    </w:p>
    <w:p>
      <w:pPr>
        <w:ind w:left="1260" w:right="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 xml:space="preserve">— </w:t>
      </w:r>
      <w:hyperlink r:id="rId215">
        <w:r>
          <w:rPr>
            <w:rFonts w:ascii="Arial" w:cs="Arial" w:eastAsia="Arial" w:hAnsi="Arial"/>
            <w:sz w:val="18"/>
            <w:szCs w:val="18"/>
            <w:u w:val="single" w:color="auto"/>
            <w:color w:val="0000FF"/>
          </w:rPr>
          <w:t>Amended and Restated Employment Agreement dated effective October 1, 2018 between Plains All American GP LLC and Willie</w:t>
        </w:r>
      </w:hyperlink>
      <w:r>
        <w:rPr>
          <w:rFonts w:ascii="Arial" w:cs="Arial" w:eastAsia="Arial" w:hAnsi="Arial"/>
          <w:sz w:val="18"/>
          <w:szCs w:val="18"/>
          <w:color w:val="auto"/>
        </w:rPr>
        <w:t xml:space="preserve"> </w:t>
      </w:r>
      <w:hyperlink r:id="rId215">
        <w:r>
          <w:rPr>
            <w:rFonts w:ascii="Arial" w:cs="Arial" w:eastAsia="Arial" w:hAnsi="Arial"/>
            <w:sz w:val="18"/>
            <w:szCs w:val="18"/>
            <w:u w:val="single" w:color="auto"/>
            <w:color w:val="0000FF"/>
          </w:rPr>
          <w:t>Chiang (incorporated by reference to Exhibit 10.7 to our Quarterly Report on Form 10-Q for the quarter ended September 30,</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2018).</w:t>
        </w:r>
      </w:hyperlink>
    </w:p>
    <w:p>
      <w:pPr>
        <w:spacing w:after="0" w:line="109" w:lineRule="exact"/>
        <w:rPr>
          <w:rFonts w:ascii="Arial" w:cs="Arial" w:eastAsia="Arial" w:hAnsi="Arial"/>
          <w:sz w:val="18"/>
          <w:szCs w:val="18"/>
          <w:color w:val="auto"/>
        </w:rPr>
      </w:pPr>
    </w:p>
    <w:p>
      <w:pPr>
        <w:jc w:val="center"/>
        <w:ind w:right="2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   </w:t>
      </w:r>
      <w:hyperlink r:id="rId216">
        <w:r>
          <w:rPr>
            <w:rFonts w:ascii="Arial" w:cs="Arial" w:eastAsia="Arial" w:hAnsi="Arial"/>
            <w:sz w:val="18"/>
            <w:szCs w:val="18"/>
            <w:u w:val="single" w:color="auto"/>
            <w:color w:val="0000FF"/>
          </w:rPr>
          <w:t>First Amendment to Plains AAP, L.P. Class B Restricted Units Agreement dated August 25, 2016 (Willie Chiang) (incorporated by</w:t>
        </w:r>
      </w:hyperlink>
      <w:r>
        <w:rPr>
          <w:rFonts w:ascii="Arial" w:cs="Arial" w:eastAsia="Arial" w:hAnsi="Arial"/>
          <w:sz w:val="18"/>
          <w:szCs w:val="18"/>
          <w:color w:val="auto"/>
        </w:rPr>
        <w:t xml:space="preserve"> </w:t>
      </w:r>
      <w:hyperlink r:id="rId216">
        <w:r>
          <w:rPr>
            <w:rFonts w:ascii="Arial" w:cs="Arial" w:eastAsia="Arial" w:hAnsi="Arial"/>
            <w:sz w:val="18"/>
            <w:szCs w:val="18"/>
            <w:u w:val="single" w:color="auto"/>
            <w:color w:val="0000FF"/>
          </w:rPr>
          <w:t>reference to Exhibit 10.8 to PAA’s Quarterly Report on Form 10-Q for the quarter ended September 30, 2016).</w:t>
        </w:r>
      </w:hyperlink>
    </w:p>
    <w:p>
      <w:pPr>
        <w:spacing w:after="0" w:line="92"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w:t>
      </w:r>
      <w:r>
        <w:rPr>
          <w:sz w:val="20"/>
          <w:szCs w:val="20"/>
          <w:color w:val="auto"/>
        </w:rPr>
        <w:tab/>
      </w:r>
      <w:hyperlink r:id="rId217">
        <w:r>
          <w:rPr>
            <w:rFonts w:ascii="Arial" w:cs="Arial" w:eastAsia="Arial" w:hAnsi="Arial"/>
            <w:sz w:val="16"/>
            <w:szCs w:val="16"/>
            <w:u w:val="single" w:color="auto"/>
            <w:color w:val="0000FF"/>
          </w:rPr>
          <w:t>Second Amendment dated March 22, 2018 to Plains AAP, L.P. Class B Restricted Units Agreement (Willie Chiang) (incorporated</w:t>
        </w:r>
      </w:hyperlink>
    </w:p>
    <w:p>
      <w:pPr>
        <w:jc w:val="center"/>
        <w:ind w:right="16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by reference to Exhibit 10.1 to our Quarterly Report on Form 10-Q for the quarter ended March 31, 2018).</w:t>
        </w:r>
      </w:hyperlink>
    </w:p>
    <w:p>
      <w:pPr>
        <w:spacing w:after="0" w:line="115" w:lineRule="exact"/>
        <w:rPr>
          <w:sz w:val="20"/>
          <w:szCs w:val="20"/>
          <w:color w:val="auto"/>
        </w:rPr>
      </w:pPr>
    </w:p>
    <w:p>
      <w:pPr>
        <w:ind w:left="1260" w:right="36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 xml:space="preserve">— </w:t>
      </w:r>
      <w:hyperlink r:id="rId218">
        <w:r>
          <w:rPr>
            <w:rFonts w:ascii="Arial" w:cs="Arial" w:eastAsia="Arial" w:hAnsi="Arial"/>
            <w:sz w:val="18"/>
            <w:szCs w:val="18"/>
            <w:u w:val="single" w:color="auto"/>
            <w:color w:val="0000FF"/>
          </w:rPr>
          <w:t>LTIP Grant Letter dated August 16, 2018 (Willie Chiang) incorporated by reference to Exhibit 10.8 to our Quarterly Report on</w:t>
        </w:r>
      </w:hyperlink>
      <w:r>
        <w:rPr>
          <w:rFonts w:ascii="Arial" w:cs="Arial" w:eastAsia="Arial" w:hAnsi="Arial"/>
          <w:sz w:val="18"/>
          <w:szCs w:val="18"/>
          <w:color w:val="auto"/>
        </w:rPr>
        <w:t xml:space="preserve"> </w:t>
      </w:r>
      <w:hyperlink r:id="rId218">
        <w:r>
          <w:rPr>
            <w:rFonts w:ascii="Arial" w:cs="Arial" w:eastAsia="Arial" w:hAnsi="Arial"/>
            <w:sz w:val="18"/>
            <w:szCs w:val="18"/>
            <w:u w:val="single" w:color="auto"/>
            <w:color w:val="0000FF"/>
          </w:rPr>
          <w:t>Form 10-Q for the quarter ended September 30, 2018).</w:t>
        </w:r>
      </w:hyperlink>
    </w:p>
    <w:p>
      <w:pPr>
        <w:spacing w:after="0" w:line="108" w:lineRule="exact"/>
        <w:rPr>
          <w:sz w:val="20"/>
          <w:szCs w:val="20"/>
          <w:color w:val="auto"/>
        </w:rPr>
      </w:pPr>
    </w:p>
    <w:p>
      <w:pPr>
        <w:ind w:left="1260" w:right="10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 xml:space="preserve">— </w:t>
      </w:r>
      <w:hyperlink r:id="rId219">
        <w:r>
          <w:rPr>
            <w:rFonts w:ascii="Arial" w:cs="Arial" w:eastAsia="Arial" w:hAnsi="Arial"/>
            <w:sz w:val="18"/>
            <w:szCs w:val="18"/>
            <w:u w:val="single" w:color="auto"/>
            <w:color w:val="0000FF"/>
          </w:rPr>
          <w:t>Plains All American 2013 Long-Term Incentive Plan (incorporated by reference to Exhibit A to PAA’s Definitive Proxy Statement</w:t>
        </w:r>
      </w:hyperlink>
      <w:r>
        <w:rPr>
          <w:rFonts w:ascii="Arial" w:cs="Arial" w:eastAsia="Arial" w:hAnsi="Arial"/>
          <w:sz w:val="18"/>
          <w:szCs w:val="18"/>
          <w:color w:val="auto"/>
        </w:rPr>
        <w:t xml:space="preserve"> </w:t>
      </w:r>
      <w:hyperlink r:id="rId219">
        <w:r>
          <w:rPr>
            <w:rFonts w:ascii="Arial" w:cs="Arial" w:eastAsia="Arial" w:hAnsi="Arial"/>
            <w:sz w:val="18"/>
            <w:szCs w:val="18"/>
            <w:u w:val="single" w:color="auto"/>
            <w:color w:val="0000FF"/>
          </w:rPr>
          <w:t>filed on October 3, 2013).</w:t>
        </w:r>
      </w:hyperlink>
    </w:p>
    <w:p>
      <w:pPr>
        <w:spacing w:after="0" w:line="108" w:lineRule="exact"/>
        <w:rPr>
          <w:sz w:val="20"/>
          <w:szCs w:val="20"/>
          <w:color w:val="auto"/>
        </w:rPr>
      </w:pPr>
    </w:p>
    <w:p>
      <w:pPr>
        <w:ind w:left="1260" w:right="32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 xml:space="preserve">— </w:t>
      </w:r>
      <w:hyperlink r:id="rId220">
        <w:r>
          <w:rPr>
            <w:rFonts w:ascii="Arial" w:cs="Arial" w:eastAsia="Arial" w:hAnsi="Arial"/>
            <w:sz w:val="18"/>
            <w:szCs w:val="18"/>
            <w:u w:val="single" w:color="auto"/>
            <w:color w:val="0000FF"/>
          </w:rPr>
          <w:t>Plains All American PNG Successor Long-Term Incentive Plan (incorporated by reference to Exhibit 4.4 to PAA’s Registration</w:t>
        </w:r>
      </w:hyperlink>
      <w:r>
        <w:rPr>
          <w:rFonts w:ascii="Arial" w:cs="Arial" w:eastAsia="Arial" w:hAnsi="Arial"/>
          <w:sz w:val="18"/>
          <w:szCs w:val="18"/>
          <w:color w:val="auto"/>
        </w:rPr>
        <w:t xml:space="preserve"> </w:t>
      </w:r>
      <w:hyperlink r:id="rId220">
        <w:r>
          <w:rPr>
            <w:rFonts w:ascii="Arial" w:cs="Arial" w:eastAsia="Arial" w:hAnsi="Arial"/>
            <w:sz w:val="18"/>
            <w:szCs w:val="18"/>
            <w:u w:val="single" w:color="auto"/>
            <w:color w:val="0000FF"/>
          </w:rPr>
          <w:t>Statement on Form S-8 (333-193139) filed December 31, 2013).</w:t>
        </w:r>
      </w:hyperlink>
    </w:p>
    <w:p>
      <w:pPr>
        <w:spacing w:after="0" w:line="108" w:lineRule="exact"/>
        <w:rPr>
          <w:sz w:val="20"/>
          <w:szCs w:val="20"/>
          <w:color w:val="auto"/>
        </w:rPr>
      </w:pPr>
    </w:p>
    <w:p>
      <w:pPr>
        <w:ind w:left="126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 xml:space="preserve">— </w:t>
      </w:r>
      <w:hyperlink r:id="rId221">
        <w:r>
          <w:rPr>
            <w:rFonts w:ascii="Arial" w:cs="Arial" w:eastAsia="Arial" w:hAnsi="Arial"/>
            <w:sz w:val="18"/>
            <w:szCs w:val="18"/>
            <w:u w:val="single" w:color="auto"/>
            <w:color w:val="0000FF"/>
          </w:rPr>
          <w:t>PAA Natural Gas Storage, L.P. 2010 Long-Term Incentive Plan (incorporated by reference to Exhibit 10.2 to PNG’s Current Report</w:t>
        </w:r>
      </w:hyperlink>
      <w:r>
        <w:rPr>
          <w:rFonts w:ascii="Arial" w:cs="Arial" w:eastAsia="Arial" w:hAnsi="Arial"/>
          <w:sz w:val="18"/>
          <w:szCs w:val="18"/>
          <w:color w:val="auto"/>
        </w:rPr>
        <w:t xml:space="preserve"> </w:t>
      </w:r>
      <w:hyperlink r:id="rId221">
        <w:r>
          <w:rPr>
            <w:rFonts w:ascii="Arial" w:cs="Arial" w:eastAsia="Arial" w:hAnsi="Arial"/>
            <w:sz w:val="18"/>
            <w:szCs w:val="18"/>
            <w:u w:val="single" w:color="auto"/>
            <w:color w:val="0000FF"/>
          </w:rPr>
          <w:t>on Form 8-K filed May 11, 2010).</w:t>
        </w:r>
      </w:hyperlink>
    </w:p>
    <w:p>
      <w:pPr>
        <w:spacing w:after="0" w:line="108" w:lineRule="exact"/>
        <w:rPr>
          <w:sz w:val="20"/>
          <w:szCs w:val="20"/>
          <w:color w:val="auto"/>
        </w:rPr>
      </w:pPr>
    </w:p>
    <w:p>
      <w:pPr>
        <w:ind w:left="1260" w:right="6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 xml:space="preserve">— </w:t>
      </w:r>
      <w:hyperlink r:id="rId222">
        <w:r>
          <w:rPr>
            <w:rFonts w:ascii="Arial" w:cs="Arial" w:eastAsia="Arial" w:hAnsi="Arial"/>
            <w:sz w:val="18"/>
            <w:szCs w:val="18"/>
            <w:u w:val="single" w:color="auto"/>
            <w:color w:val="0000FF"/>
          </w:rPr>
          <w:t>Plains GP Holdings, L.P. Long Term Incentive Plan, (incorporated by reference to Exhibit 10.3 to our Current Report on Form 8-K</w:t>
        </w:r>
      </w:hyperlink>
      <w:r>
        <w:rPr>
          <w:rFonts w:ascii="Arial" w:cs="Arial" w:eastAsia="Arial" w:hAnsi="Arial"/>
          <w:sz w:val="18"/>
          <w:szCs w:val="18"/>
          <w:color w:val="auto"/>
        </w:rPr>
        <w:t xml:space="preserve"> </w:t>
      </w:r>
      <w:hyperlink r:id="rId222">
        <w:r>
          <w:rPr>
            <w:rFonts w:ascii="Arial" w:cs="Arial" w:eastAsia="Arial" w:hAnsi="Arial"/>
            <w:sz w:val="18"/>
            <w:szCs w:val="18"/>
            <w:u w:val="single" w:color="auto"/>
            <w:color w:val="0000FF"/>
          </w:rPr>
          <w:t>filed October 25, 2013).</w:t>
        </w:r>
      </w:hyperlink>
    </w:p>
    <w:p>
      <w:pPr>
        <w:spacing w:after="0" w:line="108" w:lineRule="exact"/>
        <w:rPr>
          <w:sz w:val="20"/>
          <w:szCs w:val="20"/>
          <w:color w:val="auto"/>
        </w:rPr>
      </w:pPr>
    </w:p>
    <w:p>
      <w:pPr>
        <w:jc w:val="both"/>
        <w:ind w:left="1260" w:right="12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 xml:space="preserve">— </w:t>
      </w:r>
      <w:hyperlink r:id="rId223">
        <w:r>
          <w:rPr>
            <w:rFonts w:ascii="Arial" w:cs="Arial" w:eastAsia="Arial" w:hAnsi="Arial"/>
            <w:sz w:val="18"/>
            <w:szCs w:val="18"/>
            <w:u w:val="single" w:color="auto"/>
            <w:color w:val="0000FF"/>
          </w:rPr>
          <w:t>Form of Plains AAP, L.P. Class B Restricted Units Agreement (incorporated by reference to Exhibit 10.1 to PAA’s Current Report</w:t>
        </w:r>
      </w:hyperlink>
      <w:r>
        <w:rPr>
          <w:rFonts w:ascii="Arial" w:cs="Arial" w:eastAsia="Arial" w:hAnsi="Arial"/>
          <w:sz w:val="18"/>
          <w:szCs w:val="18"/>
          <w:color w:val="auto"/>
        </w:rPr>
        <w:t xml:space="preserve"> </w:t>
      </w:r>
      <w:hyperlink r:id="rId223">
        <w:r>
          <w:rPr>
            <w:rFonts w:ascii="Arial" w:cs="Arial" w:eastAsia="Arial" w:hAnsi="Arial"/>
            <w:sz w:val="18"/>
            <w:szCs w:val="18"/>
            <w:u w:val="single" w:color="auto"/>
            <w:color w:val="0000FF"/>
          </w:rPr>
          <w:t>on Form 8-K filed January 4, 2008).</w:t>
        </w:r>
      </w:hyperlink>
    </w:p>
    <w:p>
      <w:pPr>
        <w:spacing w:after="0" w:line="108" w:lineRule="exact"/>
        <w:rPr>
          <w:sz w:val="20"/>
          <w:szCs w:val="20"/>
          <w:color w:val="auto"/>
        </w:rPr>
      </w:pPr>
    </w:p>
    <w:p>
      <w:pPr>
        <w:ind w:left="1260" w:right="60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FF"/>
          </w:rPr>
          <w:t>Form of Amendment to the Plains AAP, L.P. Class B Restricted Units Agreement, dated October 18, 2013 (incorporated by</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FF"/>
          </w:rPr>
          <w:t>reference to Exhibit 10.6 to our Current Report on Form 8-K filed October 25, 2013).</w:t>
        </w:r>
      </w:hyperlink>
    </w:p>
    <w:p>
      <w:pPr>
        <w:spacing w:after="0" w:line="108" w:lineRule="exact"/>
        <w:rPr>
          <w:sz w:val="20"/>
          <w:szCs w:val="20"/>
          <w:color w:val="auto"/>
        </w:rPr>
      </w:pPr>
    </w:p>
    <w:p>
      <w:pPr>
        <w:ind w:left="1260" w:right="60" w:hanging="1619"/>
        <w:spacing w:after="0" w:line="289"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 xml:space="preserve">— </w:t>
      </w:r>
      <w:hyperlink r:id="rId225">
        <w:r>
          <w:rPr>
            <w:rFonts w:ascii="Arial" w:cs="Arial" w:eastAsia="Arial" w:hAnsi="Arial"/>
            <w:sz w:val="16"/>
            <w:szCs w:val="16"/>
            <w:u w:val="single" w:color="auto"/>
            <w:color w:val="0000FF"/>
          </w:rPr>
          <w:t>Form of Amendment to Plains AAP, L.P. Class B Restricted Units Agreement dated August 25, 2016 (incorporated by reference to</w:t>
        </w:r>
      </w:hyperlink>
      <w:r>
        <w:rPr>
          <w:rFonts w:ascii="Arial" w:cs="Arial" w:eastAsia="Arial" w:hAnsi="Arial"/>
          <w:sz w:val="16"/>
          <w:szCs w:val="16"/>
          <w:color w:val="auto"/>
        </w:rPr>
        <w:t xml:space="preserve"> </w:t>
      </w:r>
      <w:hyperlink r:id="rId225">
        <w:r>
          <w:rPr>
            <w:rFonts w:ascii="Arial" w:cs="Arial" w:eastAsia="Arial" w:hAnsi="Arial"/>
            <w:sz w:val="16"/>
            <w:szCs w:val="16"/>
            <w:u w:val="single" w:color="auto"/>
            <w:color w:val="0000FF"/>
          </w:rPr>
          <w:t>Exhibit 10.6 to PAA’s Quarterly Report on Form 10-Q for the quarter ended September 30, 2016 filed November 8, 2016).</w:t>
        </w:r>
      </w:hyperlink>
    </w:p>
    <w:p>
      <w:pPr>
        <w:spacing w:after="0" w:line="56" w:lineRule="exact"/>
        <w:rPr>
          <w:sz w:val="20"/>
          <w:szCs w:val="20"/>
          <w:color w:val="auto"/>
        </w:rPr>
      </w:pPr>
    </w:p>
    <w:p>
      <w:pPr>
        <w:jc w:val="both"/>
        <w:ind w:left="1260" w:right="14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 xml:space="preserve">— </w:t>
      </w:r>
      <w:hyperlink r:id="rId226">
        <w:r>
          <w:rPr>
            <w:rFonts w:ascii="Arial" w:cs="Arial" w:eastAsia="Arial" w:hAnsi="Arial"/>
            <w:sz w:val="18"/>
            <w:szCs w:val="18"/>
            <w:u w:val="single" w:color="auto"/>
            <w:color w:val="0000FF"/>
          </w:rPr>
          <w:t>Form of First Amendment dated March 22, 2018 to Amended and Restated Plains AAP, L.P. Class B Restricted Units Agreement</w:t>
        </w:r>
      </w:hyperlink>
      <w:r>
        <w:rPr>
          <w:rFonts w:ascii="Arial" w:cs="Arial" w:eastAsia="Arial" w:hAnsi="Arial"/>
          <w:sz w:val="18"/>
          <w:szCs w:val="18"/>
          <w:color w:val="auto"/>
        </w:rPr>
        <w:t xml:space="preserve"> </w:t>
      </w:r>
      <w:hyperlink r:id="rId226">
        <w:r>
          <w:rPr>
            <w:rFonts w:ascii="Arial" w:cs="Arial" w:eastAsia="Arial" w:hAnsi="Arial"/>
            <w:sz w:val="18"/>
            <w:szCs w:val="18"/>
            <w:u w:val="single" w:color="auto"/>
            <w:color w:val="0000FF"/>
          </w:rPr>
          <w:t>dated August 25, 2016 (Officers) (incorporated by reference to Exhibit 10.2 to our Quarterly Report on Form 10-Q for the quarter</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ended March 31, 2018).</w:t>
        </w:r>
      </w:hyperlink>
    </w:p>
    <w:p>
      <w:pPr>
        <w:spacing w:after="0" w:line="95" w:lineRule="exact"/>
        <w:rPr>
          <w:rFonts w:ascii="Arial" w:cs="Arial" w:eastAsia="Arial" w:hAnsi="Arial"/>
          <w:sz w:val="18"/>
          <w:szCs w:val="18"/>
          <w:color w:val="auto"/>
        </w:rPr>
      </w:pPr>
    </w:p>
    <w:p>
      <w:pPr>
        <w:ind w:left="1260" w:right="18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FF"/>
          </w:rPr>
          <w:t>Form of PAA LTIP Grant Letter for Officers (August 2016) (incorporated by reference to Exhibit 10.5 to PAA’s Quarterly Report</w:t>
        </w:r>
      </w:hyperlink>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FF"/>
          </w:rPr>
          <w:t>on Form 10-Q for the quarter ended September 30, 2016).</w:t>
        </w:r>
      </w:hyperlink>
    </w:p>
    <w:p>
      <w:pPr>
        <w:spacing w:after="0" w:line="108" w:lineRule="exact"/>
        <w:rPr>
          <w:sz w:val="20"/>
          <w:szCs w:val="20"/>
          <w:color w:val="auto"/>
        </w:rPr>
      </w:pPr>
    </w:p>
    <w:p>
      <w:pPr>
        <w:ind w:left="1260" w:right="4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 xml:space="preserve">— </w:t>
      </w:r>
      <w:hyperlink r:id="rId228">
        <w:r>
          <w:rPr>
            <w:rFonts w:ascii="Arial" w:cs="Arial" w:eastAsia="Arial" w:hAnsi="Arial"/>
            <w:sz w:val="18"/>
            <w:szCs w:val="18"/>
            <w:u w:val="single" w:color="auto"/>
            <w:color w:val="0000FF"/>
          </w:rPr>
          <w:t>Form of Amendment dated March 22, 2018 to PAA LTIP Grant Letter dated August 25, 2016 (Officers) (incorporated by reference</w:t>
        </w:r>
      </w:hyperlink>
      <w:r>
        <w:rPr>
          <w:rFonts w:ascii="Arial" w:cs="Arial" w:eastAsia="Arial" w:hAnsi="Arial"/>
          <w:sz w:val="18"/>
          <w:szCs w:val="18"/>
          <w:color w:val="auto"/>
        </w:rPr>
        <w:t xml:space="preserve"> </w:t>
      </w:r>
      <w:hyperlink r:id="rId228">
        <w:r>
          <w:rPr>
            <w:rFonts w:ascii="Arial" w:cs="Arial" w:eastAsia="Arial" w:hAnsi="Arial"/>
            <w:sz w:val="18"/>
            <w:szCs w:val="18"/>
            <w:u w:val="single" w:color="auto"/>
            <w:color w:val="0000FF"/>
          </w:rPr>
          <w:t>to Exhibit 10.4 to our Quarterly Report on Form 10-Q for the quarter ended March 31, 2018).</w:t>
        </w:r>
      </w:hyperlink>
    </w:p>
    <w:p>
      <w:pPr>
        <w:spacing w:after="0" w:line="94" w:lineRule="exact"/>
        <w:rPr>
          <w:sz w:val="20"/>
          <w:szCs w:val="20"/>
          <w:color w:val="auto"/>
        </w:rPr>
      </w:pPr>
    </w:p>
    <w:p>
      <w:pPr>
        <w:ind w:left="1260" w:right="20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 xml:space="preserve">— </w:t>
      </w:r>
      <w:hyperlink r:id="rId229">
        <w:r>
          <w:rPr>
            <w:rFonts w:ascii="Arial" w:cs="Arial" w:eastAsia="Arial" w:hAnsi="Arial"/>
            <w:sz w:val="18"/>
            <w:szCs w:val="18"/>
            <w:u w:val="single" w:color="auto"/>
            <w:color w:val="0000FF"/>
          </w:rPr>
          <w:t>Form of PAA LTIP Grant Letter for Officers (March 2018) (incorporated by reference to Exhibit 10.5 to our Quarterly Report on</w:t>
        </w:r>
      </w:hyperlink>
      <w:r>
        <w:rPr>
          <w:rFonts w:ascii="Arial" w:cs="Arial" w:eastAsia="Arial" w:hAnsi="Arial"/>
          <w:sz w:val="18"/>
          <w:szCs w:val="18"/>
          <w:color w:val="auto"/>
        </w:rPr>
        <w:t xml:space="preserve"> </w:t>
      </w:r>
      <w:hyperlink r:id="rId229">
        <w:r>
          <w:rPr>
            <w:rFonts w:ascii="Arial" w:cs="Arial" w:eastAsia="Arial" w:hAnsi="Arial"/>
            <w:sz w:val="18"/>
            <w:szCs w:val="18"/>
            <w:u w:val="single" w:color="auto"/>
            <w:color w:val="0000FF"/>
          </w:rPr>
          <w:t>Form 10-Q for the quarter ended March 31, 2018).</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327" w:lineRule="exact"/>
        <w:rPr>
          <w:sz w:val="20"/>
          <w:szCs w:val="20"/>
          <w:color w:val="auto"/>
        </w:rPr>
      </w:pPr>
    </w:p>
    <w:p>
      <w:pPr>
        <w:ind w:left="1260" w:right="80" w:hanging="1619"/>
        <w:spacing w:after="0" w:line="289"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 xml:space="preserve">— </w:t>
      </w:r>
      <w:hyperlink r:id="rId231">
        <w:r>
          <w:rPr>
            <w:rFonts w:ascii="Arial" w:cs="Arial" w:eastAsia="Arial" w:hAnsi="Arial"/>
            <w:sz w:val="16"/>
            <w:szCs w:val="16"/>
            <w:u w:val="single" w:color="auto"/>
            <w:color w:val="0000FF"/>
          </w:rPr>
          <w:t>Form of Director LTIP Grant Letter (February 2017) - Director Grant - Designated Directors and Audit Committee Members (PAA</w:t>
        </w:r>
      </w:hyperlink>
      <w:r>
        <w:rPr>
          <w:rFonts w:ascii="Arial" w:cs="Arial" w:eastAsia="Arial" w:hAnsi="Arial"/>
          <w:sz w:val="16"/>
          <w:szCs w:val="16"/>
          <w:color w:val="auto"/>
        </w:rPr>
        <w:t xml:space="preserve"> </w:t>
      </w:r>
      <w:hyperlink r:id="rId231">
        <w:r>
          <w:rPr>
            <w:rFonts w:ascii="Arial" w:cs="Arial" w:eastAsia="Arial" w:hAnsi="Arial"/>
            <w:sz w:val="16"/>
            <w:szCs w:val="16"/>
            <w:u w:val="single" w:color="auto"/>
            <w:color w:val="0000FF"/>
          </w:rPr>
          <w:t>Plan) (incorporated by reference to Exhibit 10.1 to PAA’s Quarterly Report on Form 10-Q for the quarter ended March 31, 2017).</w:t>
        </w:r>
      </w:hyperlink>
    </w:p>
    <w:p>
      <w:pPr>
        <w:spacing w:after="0" w:line="70" w:lineRule="exact"/>
        <w:rPr>
          <w:sz w:val="20"/>
          <w:szCs w:val="20"/>
          <w:color w:val="auto"/>
        </w:rPr>
      </w:pPr>
    </w:p>
    <w:p>
      <w:pPr>
        <w:ind w:left="1260" w:right="40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 xml:space="preserve">— </w:t>
      </w:r>
      <w:hyperlink r:id="rId232">
        <w:r>
          <w:rPr>
            <w:rFonts w:ascii="Arial" w:cs="Arial" w:eastAsia="Arial" w:hAnsi="Arial"/>
            <w:sz w:val="18"/>
            <w:szCs w:val="18"/>
            <w:u w:val="single" w:color="auto"/>
            <w:color w:val="0000FF"/>
          </w:rPr>
          <w:t>Form of Director LTIP Grant Letter (February 2017) - Audit Committee Supplement (PAA Plan) (incorporated by reference to</w:t>
        </w:r>
      </w:hyperlink>
      <w:r>
        <w:rPr>
          <w:rFonts w:ascii="Arial" w:cs="Arial" w:eastAsia="Arial" w:hAnsi="Arial"/>
          <w:sz w:val="18"/>
          <w:szCs w:val="18"/>
          <w:color w:val="auto"/>
        </w:rPr>
        <w:t xml:space="preserve"> </w:t>
      </w:r>
      <w:hyperlink r:id="rId232">
        <w:r>
          <w:rPr>
            <w:rFonts w:ascii="Arial" w:cs="Arial" w:eastAsia="Arial" w:hAnsi="Arial"/>
            <w:sz w:val="18"/>
            <w:szCs w:val="18"/>
            <w:u w:val="single" w:color="auto"/>
            <w:color w:val="0000FF"/>
          </w:rPr>
          <w:t>Exhibit 10.2 to PAA’s Quarterly Report on Form 10-Q for the quarter ended March 31, 2017).</w:t>
        </w:r>
      </w:hyperlink>
    </w:p>
    <w:p>
      <w:pPr>
        <w:spacing w:after="0" w:line="92"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w:t>
      </w:r>
      <w:r>
        <w:rPr>
          <w:sz w:val="20"/>
          <w:szCs w:val="20"/>
          <w:color w:val="auto"/>
        </w:rPr>
        <w:tab/>
      </w:r>
      <w:hyperlink r:id="rId233">
        <w:r>
          <w:rPr>
            <w:rFonts w:ascii="Arial" w:cs="Arial" w:eastAsia="Arial" w:hAnsi="Arial"/>
            <w:sz w:val="16"/>
            <w:szCs w:val="16"/>
            <w:u w:val="single" w:color="auto"/>
            <w:color w:val="0000FF"/>
          </w:rPr>
          <w:t>Form of Director LTIP Grant Letter (February 2017) - Independent Director Grant (PAA Plan) (incorporated by reference to Exhibit</w:t>
        </w:r>
      </w:hyperlink>
    </w:p>
    <w:p>
      <w:pPr>
        <w:ind w:left="1640"/>
        <w:spacing w:after="0"/>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10.3 to PAA’s Quarterly Report on Form 10-Q for the quarter ended March 31, 2017).</w:t>
        </w:r>
      </w:hyperlink>
    </w:p>
    <w:p>
      <w:pPr>
        <w:spacing w:after="0" w:line="115" w:lineRule="exact"/>
        <w:rPr>
          <w:sz w:val="20"/>
          <w:szCs w:val="20"/>
          <w:color w:val="auto"/>
        </w:rPr>
      </w:pPr>
    </w:p>
    <w:p>
      <w:pPr>
        <w:ind w:left="1260" w:right="360" w:hanging="1619"/>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 xml:space="preserve">— </w:t>
      </w:r>
      <w:hyperlink r:id="rId234">
        <w:r>
          <w:rPr>
            <w:rFonts w:ascii="Arial" w:cs="Arial" w:eastAsia="Arial" w:hAnsi="Arial"/>
            <w:sz w:val="18"/>
            <w:szCs w:val="18"/>
            <w:u w:val="single" w:color="auto"/>
            <w:color w:val="0000FF"/>
          </w:rPr>
          <w:t>Form of Director LTIP Grant Letter (February 2017) - Director Grant - Designated Directors and Audit Committee Members</w:t>
        </w:r>
      </w:hyperlink>
      <w:r>
        <w:rPr>
          <w:rFonts w:ascii="Arial" w:cs="Arial" w:eastAsia="Arial" w:hAnsi="Arial"/>
          <w:sz w:val="18"/>
          <w:szCs w:val="18"/>
          <w:color w:val="auto"/>
        </w:rPr>
        <w:t xml:space="preserve"> </w:t>
      </w:r>
      <w:hyperlink r:id="rId234">
        <w:r>
          <w:rPr>
            <w:rFonts w:ascii="Arial" w:cs="Arial" w:eastAsia="Arial" w:hAnsi="Arial"/>
            <w:sz w:val="18"/>
            <w:szCs w:val="18"/>
            <w:u w:val="single" w:color="auto"/>
            <w:color w:val="0000FF"/>
          </w:rPr>
          <w:t>(PAGP Plan) (incorporated by reference to Exhibit 10.1 to our Quarterly Report on Form 10-Q for the quarter ended March 31,</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2017).</w:t>
        </w:r>
      </w:hyperlink>
    </w:p>
    <w:p>
      <w:pPr>
        <w:spacing w:after="0" w:line="109" w:lineRule="exact"/>
        <w:rPr>
          <w:rFonts w:ascii="Arial" w:cs="Arial" w:eastAsia="Arial" w:hAnsi="Arial"/>
          <w:sz w:val="18"/>
          <w:szCs w:val="18"/>
          <w:color w:val="auto"/>
        </w:rPr>
      </w:pPr>
    </w:p>
    <w:p>
      <w:pPr>
        <w:ind w:left="1260" w:right="30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 xml:space="preserve">— </w:t>
      </w:r>
      <w:hyperlink r:id="rId235">
        <w:r>
          <w:rPr>
            <w:rFonts w:ascii="Arial" w:cs="Arial" w:eastAsia="Arial" w:hAnsi="Arial"/>
            <w:sz w:val="18"/>
            <w:szCs w:val="18"/>
            <w:u w:val="single" w:color="auto"/>
            <w:color w:val="0000FF"/>
          </w:rPr>
          <w:t>Form of Director LTIP Grant Letter (February 2017) - Audit Committee Supplement (PAGP Plan) (incorporated by reference to</w:t>
        </w:r>
      </w:hyperlink>
      <w:r>
        <w:rPr>
          <w:rFonts w:ascii="Arial" w:cs="Arial" w:eastAsia="Arial" w:hAnsi="Arial"/>
          <w:sz w:val="18"/>
          <w:szCs w:val="18"/>
          <w:color w:val="auto"/>
        </w:rPr>
        <w:t xml:space="preserve"> </w:t>
      </w:r>
      <w:hyperlink r:id="rId235">
        <w:r>
          <w:rPr>
            <w:rFonts w:ascii="Arial" w:cs="Arial" w:eastAsia="Arial" w:hAnsi="Arial"/>
            <w:sz w:val="18"/>
            <w:szCs w:val="18"/>
            <w:u w:val="single" w:color="auto"/>
            <w:color w:val="0000FF"/>
          </w:rPr>
          <w:t>Exhibit 10.2 to our Quarterly Report on Form 10-Q for the quarter ended March 31, 2017).</w:t>
        </w:r>
      </w:hyperlink>
    </w:p>
    <w:p>
      <w:pPr>
        <w:spacing w:after="0" w:line="108" w:lineRule="exact"/>
        <w:rPr>
          <w:sz w:val="20"/>
          <w:szCs w:val="20"/>
          <w:color w:val="auto"/>
        </w:rPr>
      </w:pPr>
    </w:p>
    <w:p>
      <w:pPr>
        <w:ind w:left="1260" w:right="48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Form of Director LTIP Grant Letter (February 2017) - Independent Director Grant (PAGP Plan) (incorporated by reference to</w:t>
        </w:r>
      </w:hyperlink>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Exhibit 10.3 to our Quarterly Report on Form 10-Q for the quarter ended March 31, 2017).</w:t>
        </w:r>
      </w:hyperlink>
    </w:p>
    <w:p>
      <w:pPr>
        <w:spacing w:after="0" w:line="108" w:lineRule="exact"/>
        <w:rPr>
          <w:sz w:val="20"/>
          <w:szCs w:val="20"/>
          <w:color w:val="auto"/>
        </w:rPr>
      </w:pPr>
    </w:p>
    <w:p>
      <w:pPr>
        <w:ind w:left="1260" w:right="4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 xml:space="preserve">— </w:t>
      </w:r>
      <w:hyperlink r:id="rId237">
        <w:r>
          <w:rPr>
            <w:rFonts w:ascii="Arial" w:cs="Arial" w:eastAsia="Arial" w:hAnsi="Arial"/>
            <w:sz w:val="18"/>
            <w:szCs w:val="18"/>
            <w:u w:val="single" w:color="auto"/>
            <w:color w:val="0000FF"/>
          </w:rPr>
          <w:t>Form of Director LTIP Grant Letter (August 2018) (incorporated by reference to Exhibit 10.66 to our Annual Report on Form 10-K</w:t>
        </w:r>
      </w:hyperlink>
      <w:r>
        <w:rPr>
          <w:rFonts w:ascii="Arial" w:cs="Arial" w:eastAsia="Arial" w:hAnsi="Arial"/>
          <w:sz w:val="18"/>
          <w:szCs w:val="18"/>
          <w:color w:val="auto"/>
        </w:rPr>
        <w:t xml:space="preserve"> </w:t>
      </w:r>
      <w:hyperlink r:id="rId237">
        <w:r>
          <w:rPr>
            <w:rFonts w:ascii="Arial" w:cs="Arial" w:eastAsia="Arial" w:hAnsi="Arial"/>
            <w:sz w:val="18"/>
            <w:szCs w:val="18"/>
            <w:u w:val="single" w:color="auto"/>
            <w:color w:val="0000FF"/>
          </w:rPr>
          <w:t>for the year ended December 31, 2018).</w:t>
        </w:r>
      </w:hyperlink>
    </w:p>
    <w:p>
      <w:pPr>
        <w:spacing w:after="0" w:line="108" w:lineRule="exact"/>
        <w:rPr>
          <w:sz w:val="20"/>
          <w:szCs w:val="20"/>
          <w:color w:val="auto"/>
        </w:rPr>
      </w:pPr>
    </w:p>
    <w:p>
      <w:pPr>
        <w:ind w:left="1260" w:right="20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 xml:space="preserve">— </w:t>
      </w:r>
      <w:hyperlink r:id="rId238">
        <w:r>
          <w:rPr>
            <w:rFonts w:ascii="Arial" w:cs="Arial" w:eastAsia="Arial" w:hAnsi="Arial"/>
            <w:sz w:val="18"/>
            <w:szCs w:val="18"/>
            <w:u w:val="single" w:color="auto"/>
            <w:color w:val="0000FF"/>
          </w:rPr>
          <w:t>Director LTIP Grant Letter (December 2018) (incorporated by reference to Exhibit 10.66 to our Annual Report on Form 10-K for</w:t>
        </w:r>
      </w:hyperlink>
      <w:r>
        <w:rPr>
          <w:rFonts w:ascii="Arial" w:cs="Arial" w:eastAsia="Arial" w:hAnsi="Arial"/>
          <w:sz w:val="18"/>
          <w:szCs w:val="18"/>
          <w:color w:val="auto"/>
        </w:rPr>
        <w:t xml:space="preserve"> </w:t>
      </w:r>
      <w:hyperlink r:id="rId238">
        <w:r>
          <w:rPr>
            <w:rFonts w:ascii="Arial" w:cs="Arial" w:eastAsia="Arial" w:hAnsi="Arial"/>
            <w:sz w:val="18"/>
            <w:szCs w:val="18"/>
            <w:u w:val="single" w:color="auto"/>
            <w:color w:val="0000FF"/>
          </w:rPr>
          <w:t>the year ended December 31, 2018).</w:t>
        </w:r>
      </w:hyperlink>
    </w:p>
    <w:p>
      <w:pPr>
        <w:spacing w:after="0" w:line="108" w:lineRule="exact"/>
        <w:rPr>
          <w:sz w:val="20"/>
          <w:szCs w:val="20"/>
          <w:color w:val="auto"/>
        </w:rPr>
      </w:pPr>
    </w:p>
    <w:p>
      <w:pPr>
        <w:ind w:left="1260" w:right="14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Form of LTIP Grant Letter dated August 15, 2019 (Officers) (incorporated by reference to Exhibit 10.2 to our Quarterly Report on</w:t>
        </w:r>
      </w:hyperlink>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Form 10-Q for the quarter ended September 30, 2019).</w:t>
        </w:r>
      </w:hyperlink>
    </w:p>
    <w:p>
      <w:pPr>
        <w:spacing w:after="0" w:line="108" w:lineRule="exact"/>
        <w:rPr>
          <w:sz w:val="20"/>
          <w:szCs w:val="20"/>
          <w:color w:val="auto"/>
        </w:rPr>
      </w:pPr>
    </w:p>
    <w:p>
      <w:pPr>
        <w:ind w:left="1260" w:right="4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Form of LTIP Grant Letter dated August 15, 2019 (Directors) (incorporated by reference to Exhibit 10.3 to our Quarterly Report on</w:t>
        </w:r>
      </w:hyperlink>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Form 10-Q for the quarter ended September 30, 2019).</w:t>
        </w:r>
      </w:hyperlink>
    </w:p>
    <w:p>
      <w:pPr>
        <w:spacing w:after="0" w:line="108" w:lineRule="exact"/>
        <w:rPr>
          <w:sz w:val="20"/>
          <w:szCs w:val="20"/>
          <w:color w:val="auto"/>
        </w:rPr>
      </w:pPr>
    </w:p>
    <w:p>
      <w:pPr>
        <w:ind w:left="1260" w:right="12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 xml:space="preserve">— </w:t>
      </w:r>
      <w:hyperlink r:id="rId241">
        <w:r>
          <w:rPr>
            <w:rFonts w:ascii="Arial" w:cs="Arial" w:eastAsia="Arial" w:hAnsi="Arial"/>
            <w:sz w:val="18"/>
            <w:szCs w:val="18"/>
            <w:u w:val="single" w:color="auto"/>
            <w:color w:val="0000FF"/>
          </w:rPr>
          <w:t>Director LTIP Grant Letter (January 2020) (incorporated by reference to Exhibit 10.72 to our Annual Report on Form 10-K for the</w:t>
        </w:r>
      </w:hyperlink>
      <w:r>
        <w:rPr>
          <w:rFonts w:ascii="Arial" w:cs="Arial" w:eastAsia="Arial" w:hAnsi="Arial"/>
          <w:sz w:val="18"/>
          <w:szCs w:val="18"/>
          <w:color w:val="auto"/>
        </w:rPr>
        <w:t xml:space="preserve"> </w:t>
      </w:r>
      <w:hyperlink r:id="rId241">
        <w:r>
          <w:rPr>
            <w:rFonts w:ascii="Arial" w:cs="Arial" w:eastAsia="Arial" w:hAnsi="Arial"/>
            <w:sz w:val="18"/>
            <w:szCs w:val="18"/>
            <w:u w:val="single" w:color="auto"/>
            <w:color w:val="0000FF"/>
          </w:rPr>
          <w:t>year ended December 31, 2019).</w:t>
        </w:r>
      </w:hyperlink>
    </w:p>
    <w:p>
      <w:pPr>
        <w:spacing w:after="0" w:line="108" w:lineRule="exact"/>
        <w:rPr>
          <w:sz w:val="20"/>
          <w:szCs w:val="20"/>
          <w:color w:val="auto"/>
        </w:rPr>
      </w:pPr>
    </w:p>
    <w:p>
      <w:pPr>
        <w:ind w:left="1260" w:right="14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 xml:space="preserve">— </w:t>
      </w:r>
      <w:hyperlink r:id="rId242">
        <w:r>
          <w:rPr>
            <w:rFonts w:ascii="Arial" w:cs="Arial" w:eastAsia="Arial" w:hAnsi="Arial"/>
            <w:sz w:val="18"/>
            <w:szCs w:val="18"/>
            <w:u w:val="single" w:color="auto"/>
            <w:color w:val="0000FF"/>
          </w:rPr>
          <w:t>Form of LTIP Grant Letter dated August 13, 2020 (Officers) (incorporated by reference to Exhibit 10.1 to our Quarterly Report on</w:t>
        </w:r>
      </w:hyperlink>
      <w:r>
        <w:rPr>
          <w:rFonts w:ascii="Arial" w:cs="Arial" w:eastAsia="Arial" w:hAnsi="Arial"/>
          <w:sz w:val="18"/>
          <w:szCs w:val="18"/>
          <w:color w:val="auto"/>
        </w:rPr>
        <w:t xml:space="preserve"> </w:t>
      </w:r>
      <w:hyperlink r:id="rId242">
        <w:r>
          <w:rPr>
            <w:rFonts w:ascii="Arial" w:cs="Arial" w:eastAsia="Arial" w:hAnsi="Arial"/>
            <w:sz w:val="18"/>
            <w:szCs w:val="18"/>
            <w:u w:val="single" w:color="auto"/>
            <w:color w:val="0000FF"/>
          </w:rPr>
          <w:t>Form 10-Q for the quarter ended September 30, 2020).</w:t>
        </w:r>
      </w:hyperlink>
    </w:p>
    <w:p>
      <w:pPr>
        <w:spacing w:after="0" w:line="108" w:lineRule="exact"/>
        <w:rPr>
          <w:sz w:val="20"/>
          <w:szCs w:val="20"/>
          <w:color w:val="auto"/>
        </w:rPr>
      </w:pPr>
    </w:p>
    <w:p>
      <w:pPr>
        <w:ind w:left="1260" w:right="40" w:hanging="161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 xml:space="preserve">— </w:t>
      </w:r>
      <w:hyperlink r:id="rId243">
        <w:r>
          <w:rPr>
            <w:rFonts w:ascii="Arial" w:cs="Arial" w:eastAsia="Arial" w:hAnsi="Arial"/>
            <w:sz w:val="18"/>
            <w:szCs w:val="18"/>
            <w:u w:val="single" w:color="auto"/>
            <w:color w:val="0000FF"/>
          </w:rPr>
          <w:t>Form of LTIP Grant Letter dated August 13, 2020 (Directors) (incorporated by reference to Exhibit 10.2 to our Quarterly Report on</w:t>
        </w:r>
      </w:hyperlink>
      <w:r>
        <w:rPr>
          <w:rFonts w:ascii="Arial" w:cs="Arial" w:eastAsia="Arial" w:hAnsi="Arial"/>
          <w:sz w:val="18"/>
          <w:szCs w:val="18"/>
          <w:color w:val="auto"/>
        </w:rPr>
        <w:t xml:space="preserve"> </w:t>
      </w:r>
      <w:hyperlink r:id="rId243">
        <w:r>
          <w:rPr>
            <w:rFonts w:ascii="Arial" w:cs="Arial" w:eastAsia="Arial" w:hAnsi="Arial"/>
            <w:sz w:val="18"/>
            <w:szCs w:val="18"/>
            <w:u w:val="single" w:color="auto"/>
            <w:color w:val="0000FF"/>
          </w:rPr>
          <w:t>Form 10-Q for the quarter ended September 30, 2020).</w:t>
        </w:r>
      </w:hyperlink>
    </w:p>
    <w:p>
      <w:pPr>
        <w:spacing w:after="0" w:line="108" w:lineRule="exact"/>
        <w:rPr>
          <w:sz w:val="20"/>
          <w:szCs w:val="20"/>
          <w:color w:val="auto"/>
        </w:rPr>
      </w:pPr>
    </w:p>
    <w:p>
      <w:pPr>
        <w:jc w:val="right"/>
        <w:ind w:left="20" w:right="28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10.53         —   </w:t>
      </w:r>
      <w:hyperlink r:id="rId244">
        <w:r>
          <w:rPr>
            <w:rFonts w:ascii="Arial" w:cs="Arial" w:eastAsia="Arial" w:hAnsi="Arial"/>
            <w:sz w:val="18"/>
            <w:szCs w:val="18"/>
            <w:u w:val="single" w:color="auto"/>
            <w:color w:val="0000FF"/>
          </w:rPr>
          <w:t>Contribution Agreement dated October 21, 2013, by and among Plains GP Holdings, L.P., PAA GP Holdings LLC and the other</w:t>
        </w:r>
      </w:hyperlink>
      <w:r>
        <w:rPr>
          <w:rFonts w:ascii="Arial" w:cs="Arial" w:eastAsia="Arial" w:hAnsi="Arial"/>
          <w:sz w:val="18"/>
          <w:szCs w:val="18"/>
          <w:color w:val="auto"/>
        </w:rPr>
        <w:t xml:space="preserve"> </w:t>
      </w:r>
      <w:hyperlink r:id="rId244">
        <w:r>
          <w:rPr>
            <w:rFonts w:ascii="Arial" w:cs="Arial" w:eastAsia="Arial" w:hAnsi="Arial"/>
            <w:sz w:val="18"/>
            <w:szCs w:val="18"/>
            <w:u w:val="single" w:color="auto"/>
            <w:color w:val="0000FF"/>
          </w:rPr>
          <w:t>parties signatory thereto (incorporated by reference to Exhibit 10.2 to our Current Report on Form 8-K filed October 25, 2013).</w:t>
        </w:r>
      </w:hyperlink>
    </w:p>
    <w:p>
      <w:pPr>
        <w:spacing w:after="0" w:line="108"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10.54** †</w:t>
      </w:r>
      <w:r>
        <w:rPr>
          <w:sz w:val="20"/>
          <w:szCs w:val="20"/>
          <w:color w:val="auto"/>
        </w:rPr>
        <w:tab/>
      </w:r>
      <w:r>
        <w:rPr>
          <w:rFonts w:ascii="Arial" w:cs="Arial" w:eastAsia="Arial" w:hAnsi="Arial"/>
          <w:sz w:val="18"/>
          <w:szCs w:val="18"/>
          <w:color w:val="auto"/>
        </w:rPr>
        <w:t>—</w:t>
      </w:r>
      <w:r>
        <w:rPr>
          <w:sz w:val="20"/>
          <w:szCs w:val="20"/>
          <w:color w:val="auto"/>
        </w:rPr>
        <w:tab/>
      </w:r>
      <w:hyperlink w:anchor="page201">
        <w:r>
          <w:rPr>
            <w:rFonts w:ascii="Arial" w:cs="Arial" w:eastAsia="Arial" w:hAnsi="Arial"/>
            <w:sz w:val="16"/>
            <w:szCs w:val="16"/>
            <w:u w:val="single" w:color="auto"/>
            <w:color w:val="0000FF"/>
          </w:rPr>
          <w:t>Form of Special Retention LTIP Grant Letter dated November 20, 2019.</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10.55** †</w:t>
      </w:r>
      <w:r>
        <w:rPr>
          <w:sz w:val="20"/>
          <w:szCs w:val="20"/>
          <w:color w:val="auto"/>
        </w:rPr>
        <w:tab/>
      </w:r>
      <w:r>
        <w:rPr>
          <w:rFonts w:ascii="Arial" w:cs="Arial" w:eastAsia="Arial" w:hAnsi="Arial"/>
          <w:sz w:val="18"/>
          <w:szCs w:val="18"/>
          <w:color w:val="auto"/>
        </w:rPr>
        <w:t>—</w:t>
      </w:r>
      <w:r>
        <w:rPr>
          <w:sz w:val="20"/>
          <w:szCs w:val="20"/>
          <w:color w:val="auto"/>
        </w:rPr>
        <w:tab/>
      </w:r>
      <w:hyperlink w:anchor="page208">
        <w:r>
          <w:rPr>
            <w:rFonts w:ascii="Arial" w:cs="Arial" w:eastAsia="Arial" w:hAnsi="Arial"/>
            <w:sz w:val="16"/>
            <w:szCs w:val="16"/>
            <w:u w:val="single" w:color="auto"/>
            <w:color w:val="0000FF"/>
          </w:rPr>
          <w:t>Form of LTIP Grant Letter dated December 21, 2017 (Goebel).</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10.56** †</w:t>
      </w:r>
      <w:r>
        <w:rPr>
          <w:sz w:val="20"/>
          <w:szCs w:val="20"/>
          <w:color w:val="auto"/>
        </w:rPr>
        <w:tab/>
      </w:r>
      <w:r>
        <w:rPr>
          <w:rFonts w:ascii="Arial" w:cs="Arial" w:eastAsia="Arial" w:hAnsi="Arial"/>
          <w:sz w:val="18"/>
          <w:szCs w:val="18"/>
          <w:color w:val="auto"/>
        </w:rPr>
        <w:t>—</w:t>
      </w:r>
      <w:r>
        <w:rPr>
          <w:sz w:val="20"/>
          <w:szCs w:val="20"/>
          <w:color w:val="auto"/>
        </w:rPr>
        <w:tab/>
      </w:r>
      <w:hyperlink w:anchor="page213">
        <w:r>
          <w:rPr>
            <w:rFonts w:ascii="Arial" w:cs="Arial" w:eastAsia="Arial" w:hAnsi="Arial"/>
            <w:sz w:val="16"/>
            <w:szCs w:val="16"/>
            <w:u w:val="single" w:color="auto"/>
            <w:color w:val="0000FF"/>
          </w:rPr>
          <w:t>Form of LTIP Grant Letter dated May 1, 2018 (Chandler)</w:t>
        </w:r>
        <w:r>
          <w:rPr>
            <w:rFonts w:ascii="Arial" w:cs="Arial" w:eastAsia="Arial" w:hAnsi="Arial"/>
            <w:sz w:val="16"/>
            <w:szCs w:val="16"/>
            <w:color w:val="0000FF"/>
          </w:rPr>
          <w:t>.</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10.57** †</w:t>
      </w:r>
      <w:r>
        <w:rPr>
          <w:sz w:val="20"/>
          <w:szCs w:val="20"/>
          <w:color w:val="auto"/>
        </w:rPr>
        <w:tab/>
      </w:r>
      <w:r>
        <w:rPr>
          <w:rFonts w:ascii="Arial" w:cs="Arial" w:eastAsia="Arial" w:hAnsi="Arial"/>
          <w:sz w:val="18"/>
          <w:szCs w:val="18"/>
          <w:color w:val="auto"/>
        </w:rPr>
        <w:t>—</w:t>
      </w:r>
      <w:r>
        <w:rPr>
          <w:sz w:val="20"/>
          <w:szCs w:val="20"/>
          <w:color w:val="auto"/>
        </w:rPr>
        <w:tab/>
      </w:r>
      <w:hyperlink w:anchor="page219">
        <w:r>
          <w:rPr>
            <w:rFonts w:ascii="Arial" w:cs="Arial" w:eastAsia="Arial" w:hAnsi="Arial"/>
            <w:sz w:val="16"/>
            <w:szCs w:val="16"/>
            <w:u w:val="single" w:color="auto"/>
            <w:color w:val="0000FF"/>
          </w:rPr>
          <w:t>Form of LTIP Grant Letter dated May 1, 2018 (Chandler)</w:t>
        </w:r>
        <w:r>
          <w:rPr>
            <w:rFonts w:ascii="Arial" w:cs="Arial" w:eastAsia="Arial" w:hAnsi="Arial"/>
            <w:sz w:val="16"/>
            <w:szCs w:val="16"/>
            <w:color w:val="0000FF"/>
          </w:rPr>
          <w:t>.</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21.1 †</w:t>
      </w:r>
      <w:r>
        <w:rPr>
          <w:sz w:val="20"/>
          <w:szCs w:val="20"/>
          <w:color w:val="auto"/>
        </w:rPr>
        <w:tab/>
      </w:r>
      <w:r>
        <w:rPr>
          <w:rFonts w:ascii="Arial" w:cs="Arial" w:eastAsia="Arial" w:hAnsi="Arial"/>
          <w:sz w:val="18"/>
          <w:szCs w:val="18"/>
          <w:color w:val="auto"/>
        </w:rPr>
        <w:t>—</w:t>
      </w:r>
      <w:r>
        <w:rPr>
          <w:sz w:val="20"/>
          <w:szCs w:val="20"/>
          <w:color w:val="auto"/>
        </w:rPr>
        <w:tab/>
      </w:r>
      <w:hyperlink w:anchor="page224">
        <w:r>
          <w:rPr>
            <w:rFonts w:ascii="Arial" w:cs="Arial" w:eastAsia="Arial" w:hAnsi="Arial"/>
            <w:sz w:val="16"/>
            <w:szCs w:val="16"/>
            <w:u w:val="single" w:color="auto"/>
            <w:color w:val="0000FF"/>
          </w:rPr>
          <w:t>List of Subsidiaries of Plains GP Holdings, L.P.</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23.1 †</w:t>
      </w:r>
      <w:r>
        <w:rPr>
          <w:sz w:val="20"/>
          <w:szCs w:val="20"/>
          <w:color w:val="auto"/>
        </w:rPr>
        <w:tab/>
      </w:r>
      <w:r>
        <w:rPr>
          <w:rFonts w:ascii="Arial" w:cs="Arial" w:eastAsia="Arial" w:hAnsi="Arial"/>
          <w:sz w:val="18"/>
          <w:szCs w:val="18"/>
          <w:color w:val="auto"/>
        </w:rPr>
        <w:t>—</w:t>
      </w:r>
      <w:r>
        <w:rPr>
          <w:sz w:val="20"/>
          <w:szCs w:val="20"/>
          <w:color w:val="auto"/>
        </w:rPr>
        <w:tab/>
      </w:r>
      <w:hyperlink w:anchor="page226">
        <w:r>
          <w:rPr>
            <w:rFonts w:ascii="Arial" w:cs="Arial" w:eastAsia="Arial" w:hAnsi="Arial"/>
            <w:sz w:val="16"/>
            <w:szCs w:val="16"/>
            <w:u w:val="single" w:color="auto"/>
            <w:color w:val="0000FF"/>
          </w:rPr>
          <w:t>Consent of PricewaterhouseCoopers LLP.</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hyperlink w:anchor="page227">
        <w:r>
          <w:rPr>
            <w:rFonts w:ascii="Arial" w:cs="Arial" w:eastAsia="Arial" w:hAnsi="Arial"/>
            <w:sz w:val="16"/>
            <w:szCs w:val="16"/>
            <w:u w:val="single" w:color="auto"/>
            <w:color w:val="0000FF"/>
          </w:rPr>
          <w:t>Certification of Principal Executive Officer pursuant to Exchange Act Rules 13a-14(a) and 15d-14(a).</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color w:val="auto"/>
        </w:rPr>
        <w:t>—</w:t>
      </w:r>
      <w:r>
        <w:rPr>
          <w:sz w:val="20"/>
          <w:szCs w:val="20"/>
          <w:color w:val="auto"/>
        </w:rPr>
        <w:tab/>
      </w:r>
      <w:hyperlink w:anchor="page228">
        <w:r>
          <w:rPr>
            <w:rFonts w:ascii="Arial" w:cs="Arial" w:eastAsia="Arial" w:hAnsi="Arial"/>
            <w:sz w:val="16"/>
            <w:szCs w:val="16"/>
            <w:u w:val="single" w:color="auto"/>
            <w:color w:val="0000FF"/>
          </w:rPr>
          <w:t>Certification of Principal Financial Officer pursuant to Exchange Act Rules 13a-14(a) and 15d-14(a).</w:t>
        </w:r>
      </w:hyperlink>
    </w:p>
    <w:p>
      <w:pPr>
        <w:spacing w:after="0" w:line="131"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r>
        <w:rPr>
          <w:rFonts w:ascii="Arial" w:cs="Arial" w:eastAsia="Arial" w:hAnsi="Arial"/>
          <w:sz w:val="18"/>
          <w:szCs w:val="18"/>
          <w:color w:val="auto"/>
        </w:rPr>
        <w:t>—</w:t>
      </w:r>
      <w:r>
        <w:rPr>
          <w:sz w:val="20"/>
          <w:szCs w:val="20"/>
          <w:color w:val="auto"/>
        </w:rPr>
        <w:tab/>
      </w:r>
      <w:hyperlink w:anchor="page229">
        <w:r>
          <w:rPr>
            <w:rFonts w:ascii="Arial" w:cs="Arial" w:eastAsia="Arial" w:hAnsi="Arial"/>
            <w:sz w:val="16"/>
            <w:szCs w:val="16"/>
            <w:u w:val="single" w:color="auto"/>
            <w:color w:val="0000FF"/>
          </w:rPr>
          <w:t>Certification of Principal Executive Officer pursuant to 18 U.S.C. 1350.</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32.2</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9400" w:type="dxa"/>
            <w:vAlign w:val="bottom"/>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30">
              <w:r>
                <w:rPr>
                  <w:rFonts w:ascii="Arial" w:cs="Arial" w:eastAsia="Arial" w:hAnsi="Arial"/>
                  <w:sz w:val="18"/>
                  <w:szCs w:val="18"/>
                  <w:u w:val="single" w:color="auto"/>
                  <w:color w:val="0000FF"/>
                </w:rPr>
                <w:t>Certification of Principal Financial Officer pursuant to 18 U.S.C. 1350.</w:t>
              </w:r>
            </w:hyperlink>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640" w:type="dxa"/>
            <w:vAlign w:val="bottom"/>
          </w:tcPr>
          <w:p>
            <w:pPr>
              <w:spacing w:after="0"/>
              <w:rPr>
                <w:sz w:val="20"/>
                <w:szCs w:val="20"/>
                <w:color w:val="auto"/>
              </w:rPr>
            </w:pPr>
            <w:r>
              <w:rPr>
                <w:rFonts w:ascii="Arial" w:cs="Arial" w:eastAsia="Arial" w:hAnsi="Arial"/>
                <w:sz w:val="18"/>
                <w:szCs w:val="18"/>
                <w:color w:val="auto"/>
              </w:rPr>
              <w:t>INS†</w:t>
            </w:r>
          </w:p>
        </w:tc>
        <w:tc>
          <w:tcPr>
            <w:tcW w:w="9400" w:type="dxa"/>
            <w:vAlign w:val="bottom"/>
          </w:tcPr>
          <w:p>
            <w:pPr>
              <w:ind w:left="240"/>
              <w:spacing w:after="0"/>
              <w:rPr>
                <w:sz w:val="20"/>
                <w:szCs w:val="20"/>
                <w:color w:val="auto"/>
              </w:rPr>
            </w:pPr>
            <w:r>
              <w:rPr>
                <w:rFonts w:ascii="Arial" w:cs="Arial" w:eastAsia="Arial" w:hAnsi="Arial"/>
                <w:sz w:val="18"/>
                <w:szCs w:val="18"/>
                <w:color w:val="auto"/>
                <w:w w:val="90"/>
              </w:rPr>
              <w:t>—   XBRL Instance Document - the instance document does not appear in the Interactive Data File because its XBRL tags are</w:t>
            </w: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0" w:type="dxa"/>
            <w:vAlign w:val="bottom"/>
          </w:tcPr>
          <w:p>
            <w:pPr>
              <w:ind w:left="620"/>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00" w:type="dxa"/>
            <w:vAlign w:val="bottom"/>
          </w:tcPr>
          <w:p>
            <w:pPr>
              <w:ind w:left="24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00" w:type="dxa"/>
            <w:vAlign w:val="bottom"/>
          </w:tcPr>
          <w:p>
            <w:pPr>
              <w:ind w:left="24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00" w:type="dxa"/>
            <w:vAlign w:val="bottom"/>
          </w:tcPr>
          <w:p>
            <w:pPr>
              <w:ind w:left="24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00" w:type="dxa"/>
            <w:vAlign w:val="bottom"/>
          </w:tcPr>
          <w:p>
            <w:pPr>
              <w:ind w:left="24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00" w:type="dxa"/>
            <w:vAlign w:val="bottom"/>
          </w:tcPr>
          <w:p>
            <w:pPr>
              <w:ind w:left="24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w w:val="84"/>
              </w:rPr>
              <w:t>104†</w:t>
            </w:r>
          </w:p>
        </w:tc>
        <w:tc>
          <w:tcPr>
            <w:tcW w:w="640" w:type="dxa"/>
            <w:vAlign w:val="bottom"/>
          </w:tcPr>
          <w:p>
            <w:pPr>
              <w:spacing w:after="0"/>
              <w:rPr>
                <w:sz w:val="24"/>
                <w:szCs w:val="24"/>
                <w:color w:val="auto"/>
              </w:rPr>
            </w:pPr>
          </w:p>
        </w:tc>
        <w:tc>
          <w:tcPr>
            <w:tcW w:w="9400" w:type="dxa"/>
            <w:vAlign w:val="bottom"/>
          </w:tcPr>
          <w:p>
            <w:pPr>
              <w:ind w:left="24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hanging="112"/>
        <w:spacing w:after="0"/>
        <w:tabs>
          <w:tab w:leader="none" w:pos="120" w:val="left"/>
        </w:tabs>
        <w:numPr>
          <w:ilvl w:val="0"/>
          <w:numId w:val="69"/>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line="277" w:lineRule="auto"/>
        <w:tabs>
          <w:tab w:leader="none" w:pos="2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its general partner</w:t>
      </w:r>
    </w:p>
    <w:p>
      <w:pPr>
        <w:spacing w:after="0" w:line="23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Willie Chiang,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b w:val="1"/>
          <w:bCs w:val="1"/>
          <w:i w:val="1"/>
          <w:iCs w:val="1"/>
          <w:color w:val="auto"/>
        </w:rPr>
        <w:t>Chairman of the Board and Chief Executive Officer of PAA GP</w:t>
      </w:r>
    </w:p>
    <w:p>
      <w:pPr>
        <w:ind w:left="6040"/>
        <w:spacing w:after="0"/>
        <w:rPr>
          <w:sz w:val="20"/>
          <w:szCs w:val="20"/>
          <w:color w:val="auto"/>
        </w:rPr>
      </w:pPr>
      <w:r>
        <w:rPr>
          <w:rFonts w:ascii="Arial" w:cs="Arial" w:eastAsia="Arial" w:hAnsi="Arial"/>
          <w:sz w:val="18"/>
          <w:szCs w:val="18"/>
          <w:b w:val="1"/>
          <w:bCs w:val="1"/>
          <w:i w:val="1"/>
          <w:iCs w:val="1"/>
          <w:color w:val="auto"/>
        </w:rPr>
        <w:t>Holdings LLC</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93"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Al Swanson,</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93"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Chris Herbold,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ind w:left="6040"/>
        <w:spacing w:after="0"/>
        <w:rPr>
          <w:sz w:val="20"/>
          <w:szCs w:val="20"/>
          <w:color w:val="auto"/>
        </w:rPr>
      </w:pPr>
      <w:r>
        <w:rPr>
          <w:rFonts w:ascii="Arial" w:cs="Arial" w:eastAsia="Arial" w:hAnsi="Arial"/>
          <w:sz w:val="18"/>
          <w:szCs w:val="18"/>
          <w:b w:val="1"/>
          <w:bCs w:val="1"/>
          <w:i w:val="1"/>
          <w:iCs w:val="1"/>
          <w:color w:val="auto"/>
        </w:rPr>
        <w:t>Holdings LLC</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30" w:right="359" w:bottom="1440" w:gutter="0" w:footer="0" w:header="0"/>
        </w:sectPr>
      </w:pPr>
    </w:p>
    <w:p>
      <w:pPr>
        <w:spacing w:after="0" w:line="229"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459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459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Willie Chiang</w:t>
      </w:r>
    </w:p>
    <w:p>
      <w:pPr>
        <w:spacing w:after="0" w:line="26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459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Harry N. Pefanis</w:t>
      </w:r>
    </w:p>
    <w:p>
      <w:pPr>
        <w:spacing w:after="0" w:line="26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459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 Swanson</w:t>
      </w:r>
    </w:p>
    <w:p>
      <w:pPr>
        <w:spacing w:after="0" w:line="26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459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Chris Herbold</w:t>
      </w:r>
    </w:p>
    <w:p>
      <w:pPr>
        <w:spacing w:after="0" w:line="26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Greg L. Armstrong</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Victor Burk</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Kevin McCarthy</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Gary R. Petersen</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Alexandra D. Pruner</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John T. Raymond</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Bobby S. Shackouls</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459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Christopher M. Temple</w:t>
      </w:r>
    </w:p>
    <w:p>
      <w:pPr>
        <w:spacing w:after="0" w:line="293"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459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Lawrence M. Ziemba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378"/>
        </w:trPr>
        <w:tc>
          <w:tcPr>
            <w:tcW w:w="6760" w:type="dxa"/>
            <w:vAlign w:val="bottom"/>
            <w:gridSpan w:val="2"/>
          </w:tcPr>
          <w:p>
            <w:pPr>
              <w:ind w:left="20"/>
              <w:spacing w:after="0"/>
              <w:rPr>
                <w:sz w:val="20"/>
                <w:szCs w:val="20"/>
                <w:color w:val="auto"/>
              </w:rPr>
            </w:pPr>
            <w:r>
              <w:rPr>
                <w:rFonts w:ascii="Arial" w:cs="Arial" w:eastAsia="Arial" w:hAnsi="Arial"/>
                <w:sz w:val="18"/>
                <w:szCs w:val="18"/>
                <w:color w:val="auto"/>
                <w:w w:val="97"/>
              </w:rPr>
              <w:t>Chairman of the Board and Chief Executive Officer of PAA GP Holdings LLC (Principal</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Executive Officer)</w:t>
            </w:r>
          </w:p>
        </w:tc>
        <w:tc>
          <w:tcPr>
            <w:tcW w:w="1760" w:type="dxa"/>
            <w:vAlign w:val="bottom"/>
          </w:tcPr>
          <w:p>
            <w:pPr>
              <w:spacing w:after="0"/>
              <w:rPr>
                <w:sz w:val="20"/>
                <w:szCs w:val="20"/>
                <w:color w:val="auto"/>
              </w:rPr>
            </w:pPr>
          </w:p>
        </w:tc>
      </w:tr>
      <w:tr>
        <w:trPr>
          <w:trHeight w:val="58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President and Chief Commercial Officer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702"/>
        </w:trPr>
        <w:tc>
          <w:tcPr>
            <w:tcW w:w="6760" w:type="dxa"/>
            <w:vAlign w:val="bottom"/>
            <w:gridSpan w:val="2"/>
          </w:tcPr>
          <w:p>
            <w:pPr>
              <w:ind w:left="20"/>
              <w:spacing w:after="0"/>
              <w:rPr>
                <w:sz w:val="20"/>
                <w:szCs w:val="20"/>
                <w:color w:val="auto"/>
              </w:rPr>
            </w:pPr>
            <w:r>
              <w:rPr>
                <w:rFonts w:ascii="Arial" w:cs="Arial" w:eastAsia="Arial" w:hAnsi="Arial"/>
                <w:sz w:val="18"/>
                <w:szCs w:val="18"/>
                <w:color w:val="auto"/>
                <w:w w:val="95"/>
              </w:rPr>
              <w:t>Executive Vice President and Chief Financial Officer of PAA GP Holdings LLC (Principal</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1760" w:type="dxa"/>
            <w:vAlign w:val="bottom"/>
          </w:tcPr>
          <w:p>
            <w:pPr>
              <w:spacing w:after="0"/>
              <w:rPr>
                <w:sz w:val="20"/>
                <w:szCs w:val="20"/>
                <w:color w:val="auto"/>
              </w:rPr>
            </w:pPr>
          </w:p>
        </w:tc>
      </w:tr>
      <w:tr>
        <w:trPr>
          <w:trHeight w:val="526"/>
        </w:trPr>
        <w:tc>
          <w:tcPr>
            <w:tcW w:w="6760" w:type="dxa"/>
            <w:vAlign w:val="bottom"/>
            <w:gridSpan w:val="2"/>
          </w:tcPr>
          <w:p>
            <w:pPr>
              <w:ind w:left="20"/>
              <w:spacing w:after="0"/>
              <w:rPr>
                <w:sz w:val="20"/>
                <w:szCs w:val="20"/>
                <w:color w:val="auto"/>
              </w:rPr>
            </w:pPr>
            <w:r>
              <w:rPr>
                <w:rFonts w:ascii="Arial" w:cs="Arial" w:eastAsia="Arial" w:hAnsi="Arial"/>
                <w:sz w:val="18"/>
                <w:szCs w:val="18"/>
                <w:color w:val="auto"/>
                <w:w w:val="97"/>
              </w:rPr>
              <w:t>Senior Vice President and Chief Accounting Officer of PAA GP Holdings LLC (Principal</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1760" w:type="dxa"/>
            <w:vAlign w:val="bottom"/>
          </w:tcPr>
          <w:p>
            <w:pPr>
              <w:spacing w:after="0"/>
              <w:rPr>
                <w:sz w:val="20"/>
                <w:szCs w:val="20"/>
                <w:color w:val="auto"/>
              </w:rPr>
            </w:pPr>
          </w:p>
        </w:tc>
      </w:tr>
      <w:tr>
        <w:trPr>
          <w:trHeight w:val="58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68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r>
        <w:trPr>
          <w:trHeight w:val="7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60" w:type="dxa"/>
            <w:vAlign w:val="bottom"/>
          </w:tcPr>
          <w:p>
            <w:pPr>
              <w:ind w:left="20"/>
              <w:spacing w:after="0"/>
              <w:rPr>
                <w:sz w:val="20"/>
                <w:szCs w:val="20"/>
                <w:color w:val="auto"/>
              </w:rPr>
            </w:pPr>
            <w:r>
              <w:rPr>
                <w:rFonts w:ascii="Arial" w:cs="Arial" w:eastAsia="Arial" w:hAnsi="Arial"/>
                <w:sz w:val="18"/>
                <w:szCs w:val="18"/>
                <w:color w:val="auto"/>
              </w:rPr>
              <w:t>February 26, 2021</w:t>
            </w:r>
          </w:p>
        </w:tc>
      </w:tr>
    </w:tbl>
    <w:p>
      <w:pPr>
        <w:spacing w:after="0" w:line="419" w:lineRule="exact"/>
        <w:rPr>
          <w:sz w:val="20"/>
          <w:szCs w:val="20"/>
          <w:color w:val="auto"/>
        </w:rPr>
      </w:pPr>
    </w:p>
    <w:p>
      <w:pPr>
        <w:sectPr>
          <w:pgSz w:w="11900" w:h="16838" w:orient="portrait"/>
          <w:cols w:equalWidth="0" w:num="2">
            <w:col w:w="2260" w:space="440"/>
            <w:col w:w="85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21" w:name="page122"/>
    <w:bookmarkEnd w:id="1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200" w:type="dxa"/>
            <w:vAlign w:val="bottom"/>
            <w:gridSpan w:val="12"/>
          </w:tcPr>
          <w:p>
            <w:pPr>
              <w:spacing w:after="0"/>
              <w:rPr>
                <w:sz w:val="20"/>
                <w:szCs w:val="20"/>
                <w:color w:val="auto"/>
              </w:rPr>
            </w:pPr>
            <w:r>
              <w:rPr>
                <w:rFonts w:ascii="Arial" w:cs="Arial" w:eastAsia="Arial" w:hAnsi="Arial"/>
                <w:sz w:val="18"/>
                <w:szCs w:val="18"/>
                <w:color w:val="auto"/>
              </w:rPr>
              <w:t>Consolidated Financial Statements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9880" w:type="dxa"/>
            <w:vAlign w:val="bottom"/>
            <w:gridSpan w:val="11"/>
          </w:tcPr>
          <w:p>
            <w:pPr>
              <w:ind w:left="20"/>
              <w:spacing w:after="0" w:line="190" w:lineRule="exact"/>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Management’s Report on Internal Control Over Financial Reporting</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FF"/>
            </w:tcBorders>
            <w:gridSpan w:val="2"/>
          </w:tcPr>
          <w:p>
            <w:pPr>
              <w:jc w:val="right"/>
              <w:ind w:right="20"/>
              <w:spacing w:after="0" w:line="190" w:lineRule="exact"/>
              <w:rPr>
                <w:rFonts w:ascii="Arial" w:cs="Arial" w:eastAsia="Arial" w:hAnsi="Arial"/>
                <w:sz w:val="18"/>
                <w:szCs w:val="18"/>
                <w:color w:val="0000FF"/>
                <w:w w:val="88"/>
              </w:rPr>
            </w:pPr>
            <w:hyperlink w:anchor="page122">
              <w:r>
                <w:rPr>
                  <w:rFonts w:ascii="Arial" w:cs="Arial" w:eastAsia="Arial" w:hAnsi="Arial"/>
                  <w:sz w:val="18"/>
                  <w:szCs w:val="18"/>
                  <w:color w:val="0000FF"/>
                  <w:w w:val="88"/>
                </w:rPr>
                <w:t>F-2</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880" w:type="dxa"/>
            <w:vAlign w:val="bottom"/>
            <w:gridSpan w:val="11"/>
          </w:tcPr>
          <w:p>
            <w:pPr>
              <w:ind w:left="2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Report of Independent Registered Public Accounting Firm</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0000FF"/>
            </w:tcBorders>
            <w:gridSpan w:val="2"/>
          </w:tcPr>
          <w:p>
            <w:pPr>
              <w:jc w:val="right"/>
              <w:ind w:right="20"/>
              <w:spacing w:after="0"/>
              <w:rPr>
                <w:rFonts w:ascii="Arial" w:cs="Arial" w:eastAsia="Arial" w:hAnsi="Arial"/>
                <w:sz w:val="18"/>
                <w:szCs w:val="18"/>
                <w:color w:val="0000FF"/>
                <w:w w:val="88"/>
              </w:rPr>
            </w:pPr>
            <w:hyperlink w:anchor="page123">
              <w:r>
                <w:rPr>
                  <w:rFonts w:ascii="Arial" w:cs="Arial" w:eastAsia="Arial" w:hAnsi="Arial"/>
                  <w:sz w:val="18"/>
                  <w:szCs w:val="18"/>
                  <w:color w:val="0000FF"/>
                  <w:w w:val="88"/>
                </w:rPr>
                <w:t>F-3</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880" w:type="dxa"/>
            <w:vAlign w:val="bottom"/>
            <w:gridSpan w:val="11"/>
          </w:tcPr>
          <w:p>
            <w:pPr>
              <w:ind w:left="20"/>
              <w:spacing w:after="0"/>
              <w:rPr>
                <w:rFonts w:ascii="Arial" w:cs="Arial" w:eastAsia="Arial" w:hAnsi="Arial"/>
                <w:sz w:val="18"/>
                <w:szCs w:val="18"/>
                <w:color w:val="0000FF"/>
              </w:rPr>
            </w:pPr>
            <w:hyperlink w:anchor="page127">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2019</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8"/>
                <w:szCs w:val="18"/>
                <w:color w:val="0000FF"/>
                <w:w w:val="88"/>
              </w:rPr>
            </w:pPr>
            <w:hyperlink w:anchor="page127">
              <w:r>
                <w:rPr>
                  <w:rFonts w:ascii="Arial" w:cs="Arial" w:eastAsia="Arial" w:hAnsi="Arial"/>
                  <w:sz w:val="18"/>
                  <w:szCs w:val="18"/>
                  <w:color w:val="0000FF"/>
                  <w:w w:val="88"/>
                </w:rPr>
                <w:t>F-6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880" w:type="dxa"/>
            <w:vAlign w:val="bottom"/>
            <w:gridSpan w:val="11"/>
          </w:tcPr>
          <w:p>
            <w:pPr>
              <w:ind w:left="20"/>
              <w:spacing w:after="0"/>
              <w:rPr>
                <w:rFonts w:ascii="Arial" w:cs="Arial" w:eastAsia="Arial" w:hAnsi="Arial"/>
                <w:sz w:val="18"/>
                <w:szCs w:val="18"/>
                <w:color w:val="0000FF"/>
              </w:rPr>
            </w:pPr>
            <w:hyperlink w:anchor="page127">
              <w:r>
                <w:rPr>
                  <w:rFonts w:ascii="Arial" w:cs="Arial" w:eastAsia="Arial" w:hAnsi="Arial"/>
                  <w:sz w:val="18"/>
                  <w:szCs w:val="18"/>
                  <w:u w:val="single" w:color="auto"/>
                  <w:color w:val="0000FF"/>
                </w:rPr>
                <w:t>Consolidated Statements of Operations for the years ended December 31, 2020,</w:t>
              </w:r>
              <w:r>
                <w:rPr>
                  <w:rFonts w:ascii="Arial" w:cs="Arial" w:eastAsia="Arial" w:hAnsi="Arial"/>
                  <w:sz w:val="18"/>
                  <w:szCs w:val="18"/>
                  <w:color w:val="0000FF"/>
                </w:rPr>
                <w:t xml:space="preserve"> 2019 and 2018</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8"/>
                <w:szCs w:val="18"/>
                <w:color w:val="0000FF"/>
                <w:w w:val="88"/>
              </w:rPr>
            </w:pPr>
            <w:hyperlink w:anchor="page127">
              <w:r>
                <w:rPr>
                  <w:rFonts w:ascii="Arial" w:cs="Arial" w:eastAsia="Arial" w:hAnsi="Arial"/>
                  <w:sz w:val="18"/>
                  <w:szCs w:val="18"/>
                  <w:color w:val="0000FF"/>
                  <w:w w:val="88"/>
                </w:rPr>
                <w:t>F-7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760" w:type="dxa"/>
            <w:vAlign w:val="bottom"/>
            <w:tcBorders>
              <w:right w:val="single" w:sz="8" w:color="0000FF"/>
            </w:tcBorders>
            <w:gridSpan w:val="3"/>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9880" w:type="dxa"/>
            <w:vAlign w:val="bottom"/>
            <w:gridSpan w:val="11"/>
          </w:tcPr>
          <w:p>
            <w:pPr>
              <w:ind w:left="2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Consolidated Statements of Comprehensive Income/(Loss) for the years ended December 31, 2020, 2019 and 2018</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28">
              <w:r>
                <w:rPr>
                  <w:rFonts w:ascii="Arial" w:cs="Arial" w:eastAsia="Arial" w:hAnsi="Arial"/>
                  <w:sz w:val="18"/>
                  <w:szCs w:val="18"/>
                  <w:color w:val="0000FF"/>
                  <w:w w:val="88"/>
                </w:rPr>
                <w:t>F-8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9880" w:type="dxa"/>
            <w:vAlign w:val="bottom"/>
            <w:gridSpan w:val="11"/>
          </w:tcPr>
          <w:p>
            <w:pPr>
              <w:ind w:left="20"/>
              <w:spacing w:after="0" w:line="196" w:lineRule="exact"/>
              <w:rPr>
                <w:rFonts w:ascii="Arial" w:cs="Arial" w:eastAsia="Arial" w:hAnsi="Arial"/>
                <w:sz w:val="18"/>
                <w:szCs w:val="18"/>
                <w:u w:val="single" w:color="auto"/>
                <w:color w:val="0000FF"/>
                <w:w w:val="93"/>
              </w:rPr>
            </w:pPr>
            <w:hyperlink w:anchor="page129">
              <w:r>
                <w:rPr>
                  <w:rFonts w:ascii="Arial" w:cs="Arial" w:eastAsia="Arial" w:hAnsi="Arial"/>
                  <w:sz w:val="18"/>
                  <w:szCs w:val="18"/>
                  <w:u w:val="single" w:color="auto"/>
                  <w:color w:val="0000FF"/>
                  <w:w w:val="93"/>
                </w:rPr>
                <w:t>Consolidated Statements of Changes in Accumulated Other Comprehensive Income/(Loss) for the years ended December 31, 2020,</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vMerge w:val="restart"/>
          </w:tcPr>
          <w:p>
            <w:pPr>
              <w:jc w:val="right"/>
              <w:spacing w:after="0"/>
              <w:rPr>
                <w:rFonts w:ascii="Arial" w:cs="Arial" w:eastAsia="Arial" w:hAnsi="Arial"/>
                <w:sz w:val="18"/>
                <w:szCs w:val="18"/>
                <w:color w:val="0000FF"/>
                <w:w w:val="88"/>
              </w:rPr>
            </w:pPr>
            <w:hyperlink w:anchor="page129">
              <w:r>
                <w:rPr>
                  <w:rFonts w:ascii="Arial" w:cs="Arial" w:eastAsia="Arial" w:hAnsi="Arial"/>
                  <w:sz w:val="18"/>
                  <w:szCs w:val="18"/>
                  <w:color w:val="0000FF"/>
                  <w:w w:val="88"/>
                </w:rPr>
                <w:t>F-8</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80" w:type="dxa"/>
            <w:vAlign w:val="bottom"/>
            <w:tcBorders>
              <w:bottom w:val="single" w:sz="8" w:color="0000FF"/>
            </w:tcBorders>
            <w:gridSpan w:val="3"/>
          </w:tcPr>
          <w:p>
            <w:pPr>
              <w:ind w:left="20"/>
              <w:spacing w:after="0" w:line="189"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2019 and 2018</w:t>
              </w:r>
            </w:hyperlink>
          </w:p>
        </w:tc>
        <w:tc>
          <w:tcPr>
            <w:tcW w:w="8800" w:type="dxa"/>
            <w:vAlign w:val="bottom"/>
            <w:gridSpan w:val="8"/>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0000FF"/>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880" w:type="dxa"/>
            <w:vAlign w:val="bottom"/>
            <w:gridSpan w:val="11"/>
          </w:tcPr>
          <w:p>
            <w:pPr>
              <w:ind w:left="20"/>
              <w:spacing w:after="0"/>
              <w:rPr>
                <w:rFonts w:ascii="Arial" w:cs="Arial" w:eastAsia="Arial" w:hAnsi="Arial"/>
                <w:sz w:val="18"/>
                <w:szCs w:val="18"/>
                <w:color w:val="0000FF"/>
              </w:rPr>
            </w:pPr>
            <w:hyperlink w:anchor="page129">
              <w:r>
                <w:rPr>
                  <w:rFonts w:ascii="Arial" w:cs="Arial" w:eastAsia="Arial" w:hAnsi="Arial"/>
                  <w:sz w:val="18"/>
                  <w:szCs w:val="18"/>
                  <w:u w:val="single" w:color="auto"/>
                  <w:color w:val="0000FF"/>
                </w:rPr>
                <w:t>Consolidated Statements of Cash Flows for the years ended December 31, 2020,</w:t>
              </w:r>
              <w:r>
                <w:rPr>
                  <w:rFonts w:ascii="Arial" w:cs="Arial" w:eastAsia="Arial" w:hAnsi="Arial"/>
                  <w:sz w:val="18"/>
                  <w:szCs w:val="18"/>
                  <w:color w:val="0000FF"/>
                </w:rPr>
                <w:t xml:space="preserve"> 2019 and 2018</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8"/>
                <w:szCs w:val="18"/>
                <w:color w:val="0000FF"/>
                <w:w w:val="88"/>
              </w:rPr>
            </w:pPr>
            <w:hyperlink w:anchor="page129">
              <w:r>
                <w:rPr>
                  <w:rFonts w:ascii="Arial" w:cs="Arial" w:eastAsia="Arial" w:hAnsi="Arial"/>
                  <w:sz w:val="18"/>
                  <w:szCs w:val="18"/>
                  <w:color w:val="0000FF"/>
                  <w:w w:val="88"/>
                </w:rPr>
                <w:t>F-9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9880" w:type="dxa"/>
            <w:vAlign w:val="bottom"/>
            <w:gridSpan w:val="11"/>
          </w:tcPr>
          <w:p>
            <w:pPr>
              <w:ind w:left="20"/>
              <w:spacing w:after="0"/>
              <w:rPr>
                <w:rFonts w:ascii="Arial" w:cs="Arial" w:eastAsia="Arial" w:hAnsi="Arial"/>
                <w:sz w:val="18"/>
                <w:szCs w:val="18"/>
                <w:color w:val="0000FF"/>
              </w:rPr>
            </w:pPr>
            <w:hyperlink w:anchor="page130">
              <w:r>
                <w:rPr>
                  <w:rFonts w:ascii="Arial" w:cs="Arial" w:eastAsia="Arial" w:hAnsi="Arial"/>
                  <w:sz w:val="18"/>
                  <w:szCs w:val="18"/>
                  <w:u w:val="single" w:color="auto"/>
                  <w:color w:val="0000FF"/>
                </w:rPr>
                <w:t>Consolidated Statements of Changes in Partners’ Capital for the years ended December 31, 2020,</w:t>
              </w:r>
              <w:r>
                <w:rPr>
                  <w:rFonts w:ascii="Arial" w:cs="Arial" w:eastAsia="Arial" w:hAnsi="Arial"/>
                  <w:sz w:val="18"/>
                  <w:szCs w:val="18"/>
                  <w:color w:val="0000FF"/>
                </w:rPr>
                <w:t xml:space="preserve"> 2019 and 2018</w:t>
              </w:r>
            </w:hyperlink>
          </w:p>
        </w:tc>
        <w:tc>
          <w:tcPr>
            <w:tcW w:w="64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F-10</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060" w:type="dxa"/>
            <w:vAlign w:val="bottom"/>
            <w:gridSpan w:val="9"/>
          </w:tcPr>
          <w:p>
            <w:pPr>
              <w:ind w:left="2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Notes to the Consolidated Financial Statements:</w:t>
              </w:r>
            </w:hyperlink>
          </w:p>
        </w:tc>
        <w:tc>
          <w:tcPr>
            <w:tcW w:w="1080" w:type="dxa"/>
            <w:vAlign w:val="bottom"/>
            <w:tcBorders>
              <w:top w:val="single" w:sz="8" w:color="0000FF"/>
            </w:tcBorders>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F-11</w:t>
              </w:r>
            </w:hyperlink>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32">
              <w:r>
                <w:rPr>
                  <w:rFonts w:ascii="Arial" w:cs="Arial" w:eastAsia="Arial" w:hAnsi="Arial"/>
                  <w:sz w:val="18"/>
                  <w:szCs w:val="18"/>
                  <w:u w:val="single" w:color="auto"/>
                  <w:color w:val="0000FF"/>
                  <w:w w:val="79"/>
                </w:rPr>
                <w:t>1.</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Organization and Basis of Consolidation and Presentation</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32">
              <w:r>
                <w:rPr>
                  <w:rFonts w:ascii="Arial" w:cs="Arial" w:eastAsia="Arial" w:hAnsi="Arial"/>
                  <w:sz w:val="18"/>
                  <w:szCs w:val="18"/>
                  <w:color w:val="0000FF"/>
                  <w:w w:val="86"/>
                </w:rPr>
                <w:t>F-11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34">
              <w:r>
                <w:rPr>
                  <w:rFonts w:ascii="Arial" w:cs="Arial" w:eastAsia="Arial" w:hAnsi="Arial"/>
                  <w:sz w:val="18"/>
                  <w:szCs w:val="18"/>
                  <w:u w:val="single" w:color="auto"/>
                  <w:color w:val="0000FF"/>
                  <w:w w:val="79"/>
                </w:rPr>
                <w:t>2.</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Summary of Significant Accounting Policies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F-13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37">
              <w:r>
                <w:rPr>
                  <w:rFonts w:ascii="Arial" w:cs="Arial" w:eastAsia="Arial" w:hAnsi="Arial"/>
                  <w:sz w:val="18"/>
                  <w:szCs w:val="18"/>
                  <w:u w:val="single" w:color="auto"/>
                  <w:color w:val="0000FF"/>
                  <w:w w:val="79"/>
                </w:rPr>
                <w:t>3.</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Revenues and Accounts Receivable</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F-17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43">
              <w:r>
                <w:rPr>
                  <w:rFonts w:ascii="Arial" w:cs="Arial" w:eastAsia="Arial" w:hAnsi="Arial"/>
                  <w:sz w:val="18"/>
                  <w:szCs w:val="18"/>
                  <w:u w:val="single" w:color="auto"/>
                  <w:color w:val="0000FF"/>
                  <w:w w:val="79"/>
                </w:rPr>
                <w:t>4.</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Net Income/(Loss) Per Class A Share</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43">
              <w:r>
                <w:rPr>
                  <w:rFonts w:ascii="Arial" w:cs="Arial" w:eastAsia="Arial" w:hAnsi="Arial"/>
                  <w:sz w:val="18"/>
                  <w:szCs w:val="18"/>
                  <w:color w:val="0000FF"/>
                  <w:w w:val="86"/>
                </w:rPr>
                <w:t>F-22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44">
              <w:r>
                <w:rPr>
                  <w:rFonts w:ascii="Arial" w:cs="Arial" w:eastAsia="Arial" w:hAnsi="Arial"/>
                  <w:sz w:val="18"/>
                  <w:szCs w:val="18"/>
                  <w:u w:val="single" w:color="auto"/>
                  <w:color w:val="0000FF"/>
                  <w:w w:val="79"/>
                </w:rPr>
                <w:t>5.</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Inventory, Linefill and Base Gas and Long-term Inventory</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44">
              <w:r>
                <w:rPr>
                  <w:rFonts w:ascii="Arial" w:cs="Arial" w:eastAsia="Arial" w:hAnsi="Arial"/>
                  <w:sz w:val="18"/>
                  <w:szCs w:val="18"/>
                  <w:color w:val="0000FF"/>
                  <w:w w:val="86"/>
                </w:rPr>
                <w:t>F-24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46">
              <w:r>
                <w:rPr>
                  <w:rFonts w:ascii="Arial" w:cs="Arial" w:eastAsia="Arial" w:hAnsi="Arial"/>
                  <w:sz w:val="18"/>
                  <w:szCs w:val="18"/>
                  <w:u w:val="single" w:color="auto"/>
                  <w:color w:val="0000FF"/>
                  <w:w w:val="79"/>
                </w:rPr>
                <w:t>6.</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Property and Equipment</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46">
              <w:r>
                <w:rPr>
                  <w:rFonts w:ascii="Arial" w:cs="Arial" w:eastAsia="Arial" w:hAnsi="Arial"/>
                  <w:sz w:val="18"/>
                  <w:szCs w:val="18"/>
                  <w:color w:val="0000FF"/>
                  <w:w w:val="86"/>
                </w:rPr>
                <w:t>F-25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48">
              <w:r>
                <w:rPr>
                  <w:rFonts w:ascii="Arial" w:cs="Arial" w:eastAsia="Arial" w:hAnsi="Arial"/>
                  <w:sz w:val="18"/>
                  <w:szCs w:val="18"/>
                  <w:u w:val="single" w:color="auto"/>
                  <w:color w:val="0000FF"/>
                  <w:w w:val="79"/>
                </w:rPr>
                <w:t>7.</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Acquisitions and Divestitures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48">
              <w:r>
                <w:rPr>
                  <w:rFonts w:ascii="Arial" w:cs="Arial" w:eastAsia="Arial" w:hAnsi="Arial"/>
                  <w:sz w:val="18"/>
                  <w:szCs w:val="18"/>
                  <w:color w:val="0000FF"/>
                  <w:w w:val="86"/>
                </w:rPr>
                <w:t>F-27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49">
              <w:r>
                <w:rPr>
                  <w:rFonts w:ascii="Arial" w:cs="Arial" w:eastAsia="Arial" w:hAnsi="Arial"/>
                  <w:sz w:val="18"/>
                  <w:szCs w:val="18"/>
                  <w:u w:val="single" w:color="auto"/>
                  <w:color w:val="0000FF"/>
                  <w:w w:val="79"/>
                </w:rPr>
                <w:t>8.</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Goodwill</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49">
              <w:r>
                <w:rPr>
                  <w:rFonts w:ascii="Arial" w:cs="Arial" w:eastAsia="Arial" w:hAnsi="Arial"/>
                  <w:sz w:val="18"/>
                  <w:szCs w:val="18"/>
                  <w:color w:val="0000FF"/>
                  <w:w w:val="86"/>
                </w:rPr>
                <w:t>F-28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ind w:left="460"/>
              <w:spacing w:after="0"/>
              <w:rPr>
                <w:rFonts w:ascii="Arial" w:cs="Arial" w:eastAsia="Arial" w:hAnsi="Arial"/>
                <w:sz w:val="18"/>
                <w:szCs w:val="18"/>
                <w:u w:val="single" w:color="auto"/>
                <w:color w:val="0000FF"/>
                <w:w w:val="79"/>
              </w:rPr>
            </w:pPr>
            <w:hyperlink w:anchor="page150">
              <w:r>
                <w:rPr>
                  <w:rFonts w:ascii="Arial" w:cs="Arial" w:eastAsia="Arial" w:hAnsi="Arial"/>
                  <w:sz w:val="18"/>
                  <w:szCs w:val="18"/>
                  <w:u w:val="single" w:color="auto"/>
                  <w:color w:val="0000FF"/>
                  <w:w w:val="79"/>
                </w:rPr>
                <w:t>9.</w:t>
              </w:r>
            </w:hyperlink>
          </w:p>
        </w:tc>
        <w:tc>
          <w:tcPr>
            <w:tcW w:w="9600" w:type="dxa"/>
            <w:vAlign w:val="bottom"/>
            <w:gridSpan w:val="10"/>
          </w:tcPr>
          <w:p>
            <w:pPr>
              <w:ind w:left="40"/>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Investments in Unconsolidated Entities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50">
              <w:r>
                <w:rPr>
                  <w:rFonts w:ascii="Arial" w:cs="Arial" w:eastAsia="Arial" w:hAnsi="Arial"/>
                  <w:sz w:val="18"/>
                  <w:szCs w:val="18"/>
                  <w:color w:val="0000FF"/>
                  <w:w w:val="86"/>
                </w:rPr>
                <w:t>F-29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53">
              <w:r>
                <w:rPr>
                  <w:rFonts w:ascii="Arial" w:cs="Arial" w:eastAsia="Arial" w:hAnsi="Arial"/>
                  <w:sz w:val="18"/>
                  <w:szCs w:val="18"/>
                  <w:u w:val="single" w:color="auto"/>
                  <w:color w:val="0000FF"/>
                  <w:w w:val="87"/>
                </w:rPr>
                <w:t>10.</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Other Long-Term Assets, Net</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53">
              <w:r>
                <w:rPr>
                  <w:rFonts w:ascii="Arial" w:cs="Arial" w:eastAsia="Arial" w:hAnsi="Arial"/>
                  <w:sz w:val="18"/>
                  <w:szCs w:val="18"/>
                  <w:color w:val="0000FF"/>
                  <w:w w:val="86"/>
                </w:rPr>
                <w:t>F-33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9880" w:type="dxa"/>
            <w:vAlign w:val="bottom"/>
            <w:gridSpan w:val="11"/>
          </w:tcPr>
          <w:p>
            <w:pPr>
              <w:ind w:left="140"/>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11. Debt</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53">
              <w:r>
                <w:rPr>
                  <w:rFonts w:ascii="Arial" w:cs="Arial" w:eastAsia="Arial" w:hAnsi="Arial"/>
                  <w:sz w:val="18"/>
                  <w:szCs w:val="18"/>
                  <w:color w:val="0000FF"/>
                  <w:w w:val="86"/>
                </w:rPr>
                <w:t>F-</w:t>
              </w:r>
            </w:hyperlink>
            <w:hyperlink w:anchor="page154">
              <w:r>
                <w:rPr>
                  <w:rFonts w:ascii="Arial" w:cs="Arial" w:eastAsia="Arial" w:hAnsi="Arial"/>
                  <w:sz w:val="18"/>
                  <w:szCs w:val="18"/>
                  <w:color w:val="0000FF"/>
                  <w:w w:val="86"/>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58">
              <w:r>
                <w:rPr>
                  <w:rFonts w:ascii="Arial" w:cs="Arial" w:eastAsia="Arial" w:hAnsi="Arial"/>
                  <w:sz w:val="18"/>
                  <w:szCs w:val="18"/>
                  <w:u w:val="single" w:color="auto"/>
                  <w:color w:val="0000FF"/>
                  <w:w w:val="87"/>
                </w:rPr>
                <w:t>12.</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Partners’ Capital and Distributions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F-38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63">
              <w:r>
                <w:rPr>
                  <w:rFonts w:ascii="Arial" w:cs="Arial" w:eastAsia="Arial" w:hAnsi="Arial"/>
                  <w:sz w:val="18"/>
                  <w:szCs w:val="18"/>
                  <w:u w:val="single" w:color="auto"/>
                  <w:color w:val="0000FF"/>
                  <w:w w:val="87"/>
                </w:rPr>
                <w:t>13.</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Derivatives and Risk Management Activities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F-42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68">
              <w:r>
                <w:rPr>
                  <w:rFonts w:ascii="Arial" w:cs="Arial" w:eastAsia="Arial" w:hAnsi="Arial"/>
                  <w:sz w:val="18"/>
                  <w:szCs w:val="18"/>
                  <w:u w:val="single" w:color="auto"/>
                  <w:color w:val="0000FF"/>
                  <w:w w:val="87"/>
                </w:rPr>
                <w:t>14.</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Leases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68">
              <w:r>
                <w:rPr>
                  <w:rFonts w:ascii="Arial" w:cs="Arial" w:eastAsia="Arial" w:hAnsi="Arial"/>
                  <w:sz w:val="18"/>
                  <w:szCs w:val="18"/>
                  <w:color w:val="0000FF"/>
                  <w:w w:val="86"/>
                </w:rPr>
                <w:t>F-47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71">
              <w:r>
                <w:rPr>
                  <w:rFonts w:ascii="Arial" w:cs="Arial" w:eastAsia="Arial" w:hAnsi="Arial"/>
                  <w:sz w:val="18"/>
                  <w:szCs w:val="18"/>
                  <w:u w:val="single" w:color="auto"/>
                  <w:color w:val="0000FF"/>
                  <w:w w:val="87"/>
                </w:rPr>
                <w:t>15.</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Income Taxes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71">
              <w:r>
                <w:rPr>
                  <w:rFonts w:ascii="Arial" w:cs="Arial" w:eastAsia="Arial" w:hAnsi="Arial"/>
                  <w:sz w:val="18"/>
                  <w:szCs w:val="18"/>
                  <w:color w:val="0000FF"/>
                  <w:w w:val="86"/>
                </w:rPr>
                <w:t>F-51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75">
              <w:r>
                <w:rPr>
                  <w:rFonts w:ascii="Arial" w:cs="Arial" w:eastAsia="Arial" w:hAnsi="Arial"/>
                  <w:sz w:val="18"/>
                  <w:szCs w:val="18"/>
                  <w:u w:val="single" w:color="auto"/>
                  <w:color w:val="0000FF"/>
                  <w:w w:val="87"/>
                </w:rPr>
                <w:t>16.</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Major Customers and Concentration of Credit Risk</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75">
              <w:r>
                <w:rPr>
                  <w:rFonts w:ascii="Arial" w:cs="Arial" w:eastAsia="Arial" w:hAnsi="Arial"/>
                  <w:sz w:val="18"/>
                  <w:szCs w:val="18"/>
                  <w:color w:val="0000FF"/>
                  <w:w w:val="86"/>
                </w:rPr>
                <w:t>F-54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75">
              <w:r>
                <w:rPr>
                  <w:rFonts w:ascii="Arial" w:cs="Arial" w:eastAsia="Arial" w:hAnsi="Arial"/>
                  <w:sz w:val="18"/>
                  <w:szCs w:val="18"/>
                  <w:u w:val="single" w:color="auto"/>
                  <w:color w:val="0000FF"/>
                  <w:w w:val="87"/>
                </w:rPr>
                <w:t>17.</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Related Party Transactions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75">
              <w:r>
                <w:rPr>
                  <w:rFonts w:ascii="Arial" w:cs="Arial" w:eastAsia="Arial" w:hAnsi="Arial"/>
                  <w:sz w:val="18"/>
                  <w:szCs w:val="18"/>
                  <w:color w:val="0000FF"/>
                  <w:w w:val="86"/>
                </w:rPr>
                <w:t>F-54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76">
              <w:r>
                <w:rPr>
                  <w:rFonts w:ascii="Arial" w:cs="Arial" w:eastAsia="Arial" w:hAnsi="Arial"/>
                  <w:sz w:val="18"/>
                  <w:szCs w:val="18"/>
                  <w:u w:val="single" w:color="auto"/>
                  <w:color w:val="0000FF"/>
                  <w:w w:val="87"/>
                </w:rPr>
                <w:t>18.</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Equity-Indexed Compensation Plans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76">
              <w:r>
                <w:rPr>
                  <w:rFonts w:ascii="Arial" w:cs="Arial" w:eastAsia="Arial" w:hAnsi="Arial"/>
                  <w:sz w:val="18"/>
                  <w:szCs w:val="18"/>
                  <w:color w:val="0000FF"/>
                  <w:w w:val="86"/>
                </w:rPr>
                <w:t>F-56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77">
              <w:r>
                <w:rPr>
                  <w:rFonts w:ascii="Arial" w:cs="Arial" w:eastAsia="Arial" w:hAnsi="Arial"/>
                  <w:sz w:val="18"/>
                  <w:szCs w:val="18"/>
                  <w:u w:val="single" w:color="auto"/>
                  <w:color w:val="0000FF"/>
                  <w:w w:val="87"/>
                </w:rPr>
                <w:t>19.</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77">
              <w:r>
                <w:rPr>
                  <w:rFonts w:ascii="Arial" w:cs="Arial" w:eastAsia="Arial" w:hAnsi="Arial"/>
                  <w:sz w:val="18"/>
                  <w:szCs w:val="18"/>
                  <w:u w:val="single" w:color="auto"/>
                  <w:color w:val="0000FF"/>
                </w:rPr>
                <w:t>Commitments and Contingencies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77">
              <w:r>
                <w:rPr>
                  <w:rFonts w:ascii="Arial" w:cs="Arial" w:eastAsia="Arial" w:hAnsi="Arial"/>
                  <w:sz w:val="18"/>
                  <w:szCs w:val="18"/>
                  <w:color w:val="0000FF"/>
                  <w:w w:val="86"/>
                </w:rPr>
                <w:t>F-57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82">
              <w:r>
                <w:rPr>
                  <w:rFonts w:ascii="Arial" w:cs="Arial" w:eastAsia="Arial" w:hAnsi="Arial"/>
                  <w:sz w:val="18"/>
                  <w:szCs w:val="18"/>
                  <w:u w:val="single" w:color="auto"/>
                  <w:color w:val="0000FF"/>
                  <w:w w:val="87"/>
                </w:rPr>
                <w:t>20.</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82">
              <w:r>
                <w:rPr>
                  <w:rFonts w:ascii="Arial" w:cs="Arial" w:eastAsia="Arial" w:hAnsi="Arial"/>
                  <w:sz w:val="18"/>
                  <w:szCs w:val="18"/>
                  <w:u w:val="single" w:color="auto"/>
                  <w:color w:val="0000FF"/>
                </w:rPr>
                <w:t>Quarterly Financial Data (Unaudited)</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82">
              <w:r>
                <w:rPr>
                  <w:rFonts w:ascii="Arial" w:cs="Arial" w:eastAsia="Arial" w:hAnsi="Arial"/>
                  <w:sz w:val="18"/>
                  <w:szCs w:val="18"/>
                  <w:color w:val="0000FF"/>
                  <w:w w:val="86"/>
                </w:rPr>
                <w:t>F-62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ind w:left="460"/>
              <w:spacing w:after="0"/>
              <w:rPr>
                <w:rFonts w:ascii="Arial" w:cs="Arial" w:eastAsia="Arial" w:hAnsi="Arial"/>
                <w:sz w:val="18"/>
                <w:szCs w:val="18"/>
                <w:u w:val="single" w:color="auto"/>
                <w:color w:val="0000FF"/>
                <w:w w:val="87"/>
              </w:rPr>
            </w:pPr>
            <w:hyperlink w:anchor="page183">
              <w:r>
                <w:rPr>
                  <w:rFonts w:ascii="Arial" w:cs="Arial" w:eastAsia="Arial" w:hAnsi="Arial"/>
                  <w:sz w:val="18"/>
                  <w:szCs w:val="18"/>
                  <w:u w:val="single" w:color="auto"/>
                  <w:color w:val="0000FF"/>
                  <w:w w:val="87"/>
                </w:rPr>
                <w:t>21.</w:t>
              </w:r>
            </w:hyperlink>
          </w:p>
        </w:tc>
        <w:tc>
          <w:tcPr>
            <w:tcW w:w="9500" w:type="dxa"/>
            <w:vAlign w:val="bottom"/>
            <w:gridSpan w:val="9"/>
          </w:tcPr>
          <w:p>
            <w:pPr>
              <w:ind w:left="20"/>
              <w:spacing w:after="0"/>
              <w:rPr>
                <w:rFonts w:ascii="Arial" w:cs="Arial" w:eastAsia="Arial" w:hAnsi="Arial"/>
                <w:sz w:val="18"/>
                <w:szCs w:val="18"/>
                <w:u w:val="single" w:color="auto"/>
                <w:color w:val="0000FF"/>
              </w:rPr>
            </w:pPr>
            <w:hyperlink w:anchor="page183">
              <w:r>
                <w:rPr>
                  <w:rFonts w:ascii="Arial" w:cs="Arial" w:eastAsia="Arial" w:hAnsi="Arial"/>
                  <w:sz w:val="18"/>
                  <w:szCs w:val="18"/>
                  <w:u w:val="single" w:color="auto"/>
                  <w:color w:val="0000FF"/>
                </w:rPr>
                <w:t>Operating Segments</w:t>
              </w:r>
            </w:hyperlink>
          </w:p>
        </w:tc>
        <w:tc>
          <w:tcPr>
            <w:tcW w:w="6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83">
              <w:r>
                <w:rPr>
                  <w:rFonts w:ascii="Arial" w:cs="Arial" w:eastAsia="Arial" w:hAnsi="Arial"/>
                  <w:sz w:val="18"/>
                  <w:szCs w:val="18"/>
                  <w:color w:val="0000FF"/>
                  <w:w w:val="86"/>
                </w:rPr>
                <w:t>F-63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2020.</w:t>
      </w:r>
    </w:p>
    <w:p>
      <w:pPr>
        <w:spacing w:after="0" w:line="214" w:lineRule="exact"/>
        <w:rPr>
          <w:sz w:val="20"/>
          <w:szCs w:val="20"/>
          <w:color w:val="auto"/>
        </w:rPr>
      </w:pPr>
    </w:p>
    <w:p>
      <w:pPr>
        <w:jc w:val="both"/>
        <w:ind w:right="162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2020 has been audited by PricewaterhouseCoopers LLP, an independent registered public accounting firm, as stated in their report which appears on Page F-3.</w:t>
      </w:r>
    </w:p>
    <w:p>
      <w:pPr>
        <w:spacing w:after="0" w:line="19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63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8">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3420" w:right="2180"/>
        <w:spacing w:after="0" w:line="292" w:lineRule="auto"/>
        <w:rPr>
          <w:sz w:val="20"/>
          <w:szCs w:val="20"/>
          <w:color w:val="auto"/>
        </w:rPr>
      </w:pPr>
      <w:r>
        <w:rPr>
          <w:rFonts w:ascii="Arial" w:cs="Arial" w:eastAsia="Arial" w:hAnsi="Arial"/>
          <w:sz w:val="18"/>
          <w:szCs w:val="18"/>
          <w:i w:val="1"/>
          <w:iCs w:val="1"/>
          <w:color w:val="auto"/>
        </w:rPr>
        <w:t>Chairman of the Board and Chief Executive Officer of PAA GP Holdings LLC (Principal Executive Officer)</w:t>
      </w: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63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9">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1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3420" w:right="2080"/>
        <w:spacing w:after="0" w:line="292" w:lineRule="auto"/>
        <w:rPr>
          <w:sz w:val="20"/>
          <w:szCs w:val="20"/>
          <w:color w:val="auto"/>
        </w:rPr>
      </w:pPr>
      <w:r>
        <w:rPr>
          <w:rFonts w:ascii="Arial" w:cs="Arial" w:eastAsia="Arial" w:hAnsi="Arial"/>
          <w:sz w:val="18"/>
          <w:szCs w:val="18"/>
          <w:i w:val="1"/>
          <w:iCs w:val="1"/>
          <w:color w:val="auto"/>
        </w:rPr>
        <w:t>Executive Vice President and Chief Financial Officer of PAA GP Holdings LLC (Principal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left="34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PAA GP Holdings LLC and Shareholders of Plains GP Holdings,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Plains GP Holdings, L.P. and its subsidiaries (the “Partnership”) as of December 31, 2020 and 2019, and the related consolidated statements of operations, of comprehensive income/(loss), of changes in accumulated other comprehensive income/(loss), of changes in partners' capital and of cash flows for each of the three years in the period ended December 31, 2020, including the related notes (collectively referred to as the “consolidated financial statements”). We also have audited the Partnership's internal control over financial reporting as of December 31, 2020, based on criteria established in Internal Control - Integrated Framework (2013) issued by the Committee of Sponsoring Organizations of the Treadway Commission (COSO).</w:t>
      </w:r>
    </w:p>
    <w:p>
      <w:pPr>
        <w:spacing w:after="0" w:line="2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 Also in our opinion, the Partnership maintained, in all material respects, effective internal control over financial reporting as of December 31, 2020, based on criteria established in Internal Control - Integrated Framework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4" w:name="page125"/>
    <w:bookmarkEnd w:id="1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Note 8 to the consolidated financial statements, goodwill is tested for impairment at a level of reporting referred to as a reporting unit. A reporting unit is an operating segment or one level below an operating segment for which discrete financial information is available and regularly reviewed by segment management. Management tests goodwill to determine whether an impairment has occurred at least annually (as of June 30) and on an interim basis if it is more likely than not that a reporting unit’s fair value is less than its carrying value. During the first quarter of 2020, the Partnership’s market capitalization declined significantly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assets, which was a triggering event that required management to perform a quantitative impairment test as of March 31, 2020. As a result of this quantitative impairment test as of March 31, 2020, the Partnership recorded an impairment loss of $2,515 million and the consolidated goodwill balance was $0 as of December 31, 2020. In the quantitative test, management compares the fair value of the reporting unit with the respective book values, including goodwill, by using an income approach based on a discounted cash flow model. This approach requires management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w:t>
      </w:r>
    </w:p>
    <w:p>
      <w:pPr>
        <w:spacing w:after="0" w:line="2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Partnership’s reporting units is a critical audit matter are (i) the significant judgment by management when developing the fair value measurement of the reporting units;</w:t>
      </w:r>
    </w:p>
    <w:p>
      <w:pPr>
        <w:ind w:right="200" w:firstLine="8"/>
        <w:spacing w:after="0" w:line="290" w:lineRule="auto"/>
        <w:tabs>
          <w:tab w:leader="none" w:pos="26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high degree of auditor judgment, subjectivity, and effort in performing procedures and evaluating management’s significant assumptions relating to the weighted average cost of capital; and (iii) the audit effort involved the use of professionals with specialized skill and knowledge.</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reporting units. These procedures also included among others (i) testing management’s process for developing the fair value estimates; (ii) evaluating the appropriateness of the discounted cash flow models; (iii) testing the completeness and accuracy of underlying data used in the models; and (iv) evaluating the reasonableness of the weighted average cost of capital assumptions used by management. Professionals with specialized skill and knowledge were used to assist in evaluating the appropriateness of the discounted cash flow models and evaluating the reasonableness of the weighted average cost of capital assumption.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 of Certain Pipeline Assets in the Transportation Segment</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described in Note 6 to the consolidated financial statements, the Partnership’s consolidated net property, plant and equipment balance was $14,620 million as of December 31, 2020. Management periodically evaluates property and equipment and other long-lived assets for impairment when events or circumstances indicate that the carrying value of these assets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 The subjective assumptions used to determine the existence of an impairment in carrying value include whether there is an indication of impairment, the grouping of assets, the intention of “holding”, “abandoning” or “selling” an asset, the forecast of undiscounted expected future cash flow over the asset’s estimated useful life and, if an impairment exists, the fair value of the asset or asset group. During the year ended December 31, 2020, the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assets, which was a triggering event that required management to assess the recoverability of the Partnership’s carrying value of such long-lived assets. As a result, management recognized approximately $541 million of non-cash impairment losses of which approximately $415 million was associated with certain pipeline assets in the Transportation segment located in the Central region. The evaluation is highly dependent on management’s key assumptions relating to the cash flows, including (i) future commodity volumes, (ii) tariff rates, (iii) future commodity prices, and (iv) estimated fixed and variable costs.</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impairment assessment of certain pipeline assets included in the Transportation segment is a critical audit matter are (i) the significant judgment by management when developing the fair value measurement of these assets due to the forecasted cash flows; (ii) a high degree of auditor judgment, subjectivity and effort in performing procedures and evaluating management’s significant assumption related to future commodity volumes; and (iii) the audit effort involved the use of professionals with specialized skill and knowledge.</w:t>
      </w:r>
    </w:p>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impairment assessment of pipeline assets, including controls over management’s process to estimate fair value associated with certain pipeline assets included in the Transportation segment located in the Central region. These procedures also included, among others (i) testing management’s process for developing the fair value of certain pipeline assets in the Transportation segment located in the Central region; (ii) evaluating the appropriateness of the discounted cash flow models; (iii) testing the completeness and accuracy of underlying data used in the models; and (iv) evaluating the reasonableness of significant assumptions used by management related to future commodity volumes. Evaluating management’s assumptions related to future commodity volumes involved evaluating whether the assumptions used by management were reasonable considering (i) the current and past performance of the asset groups; (ii) the consistency with external market and industry data; and (iii) whether these assumptions were consistent with evidence obtained in other areas of the audit. Professionals with specialized skill and knowledge were used to assist in evaluating the appropriateness of the discounted cash flow models.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PricewaterhouseCoopers LLP</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Houston, Texas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26, 2021</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6" w:name="page127"/>
    <w:bookmarkEnd w:id="1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r>
      <w:tr>
        <w:trPr>
          <w:trHeight w:val="216"/>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Trade accounts receivable and other receivables, net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r>
      <w:tr>
        <w:trPr>
          <w:trHeight w:val="196"/>
        </w:trPr>
        <w:tc>
          <w:tcPr>
            <w:tcW w:w="8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w:t>
            </w:r>
          </w:p>
        </w:tc>
      </w:tr>
      <w:tr>
        <w:trPr>
          <w:trHeight w:val="196"/>
        </w:trPr>
        <w:tc>
          <w:tcPr>
            <w:tcW w:w="8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4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8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3,687</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r>
      <w:tr>
        <w:trPr>
          <w:trHeight w:val="196"/>
        </w:trPr>
        <w:tc>
          <w:tcPr>
            <w:tcW w:w="8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23"/>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long-term liabilities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10,465</w:t>
            </w:r>
          </w:p>
        </w:tc>
      </w:tr>
      <w:tr>
        <w:trPr>
          <w:trHeight w:val="196"/>
        </w:trPr>
        <w:tc>
          <w:tcPr>
            <w:tcW w:w="8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19)</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PARTNERS’ CAPITAL</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shareholders (194,051,436 and 182,138,592 shares outstanding, respectively)</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partners’ capital</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Total liabilities and partners’ capital</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r>
      <w:tr>
        <w:trPr>
          <w:trHeight w:val="21"/>
        </w:trPr>
        <w:tc>
          <w:tcPr>
            <w:tcW w:w="8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27" w:name="page128"/>
    <w:bookmarkEnd w:id="1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0"/>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22,058</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32,272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29,793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6, Note 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losses (Note 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31,783</w:t>
            </w:r>
          </w:p>
        </w:tc>
      </w:tr>
      <w:tr>
        <w:trPr>
          <w:trHeight w:val="256"/>
        </w:trPr>
        <w:tc>
          <w:tcPr>
            <w:tcW w:w="7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2,272</w:t>
            </w:r>
          </w:p>
        </w:tc>
      </w:tr>
      <w:tr>
        <w:trPr>
          <w:trHeight w:val="216"/>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 (Note 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 of $24, $34 and $30, respectively)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7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50"/>
        </w:trPr>
        <w:tc>
          <w:tcPr>
            <w:tcW w:w="7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8" w:name="page129"/>
    <w:bookmarkEnd w:id="1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left="360" w:right="2540"/>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COMPREHENSIVE INCOME/(LOSS) (in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0"/>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left="360" w:right="2760"/>
        <w:spacing w:after="0" w:line="261" w:lineRule="auto"/>
        <w:rPr>
          <w:sz w:val="20"/>
          <w:szCs w:val="20"/>
          <w:color w:val="auto"/>
        </w:rPr>
      </w:pPr>
      <w:r>
        <w:rPr>
          <w:rFonts w:ascii="Arial" w:cs="Arial" w:eastAsia="Arial" w:hAnsi="Arial"/>
          <w:sz w:val="18"/>
          <w:szCs w:val="18"/>
          <w:b w:val="1"/>
          <w:bCs w:val="1"/>
          <w:color w:val="auto"/>
        </w:rPr>
        <w:t>PLAINS GP HOLDINGS, L.P. AND SUBSIDIARIES CONSOLIDATED STATEMENTS OF CHANGES IN ACCUMULATED OTHER COMPREHENSIVE INCOME/(LOSS)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2018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2019 Activity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hedges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2020 Activity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9" w:name="page130"/>
    <w:bookmarkEnd w:id="1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19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Net income/(loss)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net income/(loss)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(Gains)/losses on asset sales and asset impairments, net (Note 6, Note 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Goodwill impairment losses (Note 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Equity-indexed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Inventory valuation adjustments (Note 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expense/(benefit)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Settlement of terminated interest rate hedging instruments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Distributions on earnings from unconsolidated entities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on)/impairment of investments in unconsolidated entities, net (Note 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Trade accounts receivable and other</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Trade accounts payable and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7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in connection with acquisitions, net of cash acquired (Note 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Investments in unconsolidated entities (Note 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equipment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sales of assets (Note 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purchases of linefill and base gas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borrowings/(repayments) under PAA commercial paper program (Note 11)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Net borrowings/(repayments) under PAA senior secured hedged inventory facility (Note 11)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PAA GO Zone term loans (Note 11)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the issuance of PAA senior notes (Note 11)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PAA senior notes (Note 11)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Repurchase of common units by a subsidiary (Note 12)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Class A shareholders (Note 12)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 (Note 12)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noncontrolling interest in a subsidiary (Note 12)</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Effect of translation adjustment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360" w:type="dxa"/>
            <w:vAlign w:val="bottom"/>
          </w:tcPr>
          <w:p>
            <w:pPr>
              <w:ind w:left="140"/>
              <w:spacing w:after="0"/>
              <w:rPr>
                <w:sz w:val="20"/>
                <w:szCs w:val="20"/>
                <w:color w:val="auto"/>
              </w:rPr>
            </w:pPr>
            <w:r>
              <w:rPr>
                <w:rFonts w:ascii="Arial" w:cs="Arial" w:eastAsia="Arial" w:hAnsi="Arial"/>
                <w:sz w:val="16"/>
                <w:szCs w:val="16"/>
                <w:color w:val="auto"/>
              </w:rPr>
              <w:t>Interest, net of amounts capitalized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net of amounts refunded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30" w:name="page131"/>
    <w:bookmarkEnd w:id="1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Index to Financial Statements</w:t>
        </w:r>
      </w:hyperlink>
    </w:p>
    <w:p>
      <w:pPr>
        <w:spacing w:after="0" w:line="374" w:lineRule="exact"/>
        <w:rPr>
          <w:sz w:val="20"/>
          <w:szCs w:val="20"/>
          <w:color w:val="auto"/>
        </w:rPr>
      </w:pPr>
    </w:p>
    <w:p>
      <w:pPr>
        <w:jc w:val="center"/>
        <w:ind w:left="380" w:right="2540"/>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Class A</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Total Partners’</w:t>
            </w:r>
          </w:p>
        </w:tc>
      </w:tr>
      <w:tr>
        <w:trPr>
          <w:trHeight w:val="188"/>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Shareholders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1180" w:type="dxa"/>
            <w:vAlign w:val="bottom"/>
          </w:tcPr>
          <w:p>
            <w:pPr>
              <w:jc w:val="right"/>
              <w:ind w:right="351"/>
              <w:spacing w:after="0"/>
              <w:rPr>
                <w:sz w:val="20"/>
                <w:szCs w:val="20"/>
                <w:color w:val="auto"/>
              </w:rPr>
            </w:pPr>
            <w:r>
              <w:rPr>
                <w:rFonts w:ascii="Arial" w:cs="Arial" w:eastAsia="Arial" w:hAnsi="Arial"/>
                <w:sz w:val="14"/>
                <w:szCs w:val="14"/>
                <w:b w:val="1"/>
                <w:bCs w:val="1"/>
                <w:color w:val="auto"/>
              </w:rPr>
              <w:t>Capital</w:t>
            </w:r>
          </w:p>
        </w:tc>
      </w:tr>
      <w:tr>
        <w:trPr>
          <w:trHeight w:val="249"/>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adoption of ASU 2017-05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January 1, 2018</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12,471</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 (Note 15)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Deferred tax asset (Note 15)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Other comprehensive income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Sale of noncontrolling interest in a subsidiary (Note 12)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(2,440)</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Deferred tax asset (Note 15)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Other comprehensive income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Repurchase of common units by a subsidiary (Note 12)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Contributions from noncontrolling interests (Note 12)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right="340" w:firstLine="648"/>
        <w:spacing w:after="0" w:line="296" w:lineRule="auto"/>
        <w:rPr>
          <w:sz w:val="20"/>
          <w:szCs w:val="20"/>
          <w:color w:val="auto"/>
        </w:rPr>
      </w:pPr>
      <w:r>
        <w:rPr>
          <w:rFonts w:ascii="Arial" w:cs="Arial" w:eastAsia="Arial" w:hAnsi="Arial"/>
          <w:sz w:val="16"/>
          <w:szCs w:val="16"/>
          <w:color w:val="auto"/>
        </w:rPr>
        <w:t>Plains GP Holdings, L.P. (“PAGP”) is a Delaware limited partnership formed in 2013 that has elected to be taxed as a corporation for United States federal income tax purposes. PAGP does not directly own any operating assets; as of December 31, 2020,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8"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As of December 31, 2020, PAGP owned (i) a 100% managing member interest in Plains All American GP LLC (“GP LLC”), an entity that has also elected to be taxed as a corporation for United States federal income tax purposes and (ii) an approximate 79% limited partner interest in Plains AAP, L.P. (“AAP”) through our direct ownership of approximately 193.1 million Class A units of AAP (“AAP units”) and indirect ownership of approximately</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1.0 million AAP units through GP LLC. GP LLC is a Delaware limited liability company that also holds the non-economic general partner interest in AAP. AAP is a Delaware limited partnership that, as of December 31, 2020, directly owned a limited partner interest in PAA through its ownership of approximately 245.8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PAA is a publicly traded master limited partnership. 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NGL and natural gas. Our business activities are conducted through three operating segments: Transportation, Facilities and Supply and Logistics. See Note 21 for further discussion of our operating segments.</w:t>
      </w:r>
    </w:p>
    <w:p>
      <w:pPr>
        <w:spacing w:after="0" w:line="222"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AOCI</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ASC</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ASU</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Bcf</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CAD</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CODM</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DERs</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EBITDA</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EPA</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FASB</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6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878"/>
        </w:trPr>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60" w:type="dxa"/>
            <w:vAlign w:val="bottom"/>
          </w:tcPr>
          <w:p>
            <w:pPr>
              <w:ind w:left="3280"/>
              <w:spacing w:after="0"/>
              <w:rPr>
                <w:sz w:val="20"/>
                <w:szCs w:val="20"/>
                <w:color w:val="auto"/>
              </w:rPr>
            </w:pPr>
            <w:r>
              <w:rPr>
                <w:rFonts w:ascii="Arial" w:cs="Arial" w:eastAsia="Arial" w:hAnsi="Arial"/>
                <w:sz w:val="18"/>
                <w:szCs w:val="18"/>
                <w:color w:val="auto"/>
              </w:rPr>
              <w:t>F-11</w:t>
            </w:r>
          </w:p>
        </w:tc>
      </w:tr>
      <w:tr>
        <w:trPr>
          <w:trHeight w:val="115"/>
        </w:trPr>
        <w:tc>
          <w:tcPr>
            <w:tcW w:w="1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20" w:type="dxa"/>
            <w:vAlign w:val="bottom"/>
          </w:tcPr>
          <w:p>
            <w:pPr>
              <w:ind w:left="1380"/>
              <w:spacing w:after="0"/>
              <w:rPr>
                <w:sz w:val="20"/>
                <w:szCs w:val="20"/>
                <w:color w:val="auto"/>
              </w:rPr>
            </w:pPr>
            <w:r>
              <w:rPr>
                <w:rFonts w:ascii="Arial" w:cs="Arial" w:eastAsia="Arial" w:hAnsi="Arial"/>
                <w:sz w:val="18"/>
                <w:szCs w:val="18"/>
                <w:b w:val="1"/>
                <w:bCs w:val="1"/>
                <w:color w:val="auto"/>
              </w:rPr>
              <w:t>PLAINS GP HOLDINGS, L.P. AND SUBSIDIARIES</w:t>
            </w:r>
          </w:p>
        </w:tc>
      </w:tr>
      <w:tr>
        <w:trPr>
          <w:trHeight w:val="234"/>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20" w:type="dxa"/>
            <w:vAlign w:val="bottom"/>
          </w:tcPr>
          <w:p>
            <w:pPr>
              <w:ind w:left="880"/>
              <w:spacing w:after="0"/>
              <w:rPr>
                <w:sz w:val="20"/>
                <w:szCs w:val="20"/>
                <w:color w:val="auto"/>
              </w:rPr>
            </w:pPr>
            <w:r>
              <w:rPr>
                <w:rFonts w:ascii="Arial" w:cs="Arial" w:eastAsia="Arial" w:hAnsi="Arial"/>
                <w:sz w:val="18"/>
                <w:szCs w:val="18"/>
                <w:b w:val="1"/>
                <w:bCs w:val="1"/>
                <w:color w:val="auto"/>
              </w:rPr>
              <w:t>NOTES TO THE CONSOLIDATED FINANCIAL STATEMENTS</w:t>
            </w:r>
          </w:p>
        </w:tc>
      </w:tr>
      <w:tr>
        <w:trPr>
          <w:trHeight w:val="701"/>
        </w:trPr>
        <w:tc>
          <w:tcPr>
            <w:tcW w:w="1280" w:type="dxa"/>
            <w:vAlign w:val="bottom"/>
          </w:tcPr>
          <w:p>
            <w:pPr>
              <w:spacing w:after="0"/>
              <w:rPr>
                <w:sz w:val="20"/>
                <w:szCs w:val="20"/>
                <w:color w:val="auto"/>
              </w:rPr>
            </w:pPr>
            <w:r>
              <w:rPr>
                <w:rFonts w:ascii="Arial" w:cs="Arial" w:eastAsia="Arial" w:hAnsi="Arial"/>
                <w:sz w:val="18"/>
                <w:szCs w:val="18"/>
                <w:color w:val="auto"/>
              </w:rPr>
              <w:t>GAAP</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Generally accepted accounting principles in the United States</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ICE</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ISDA</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International Swaps and Derivatives Association</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LIBOR</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London Interbank Offered Rate</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LTIP</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Mcf</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MMbls</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NGL</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Natural gas liquids, including ethane, propane and butane</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NYMEX</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New York Mercantile Exchange</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Oxy</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SEC</w:t>
            </w:r>
          </w:p>
        </w:tc>
        <w:tc>
          <w:tcPr>
            <w:tcW w:w="6900" w:type="dxa"/>
            <w:vAlign w:val="bottom"/>
            <w:gridSpan w:val="2"/>
          </w:tcPr>
          <w:p>
            <w:pPr>
              <w:ind w:left="620"/>
              <w:spacing w:after="0"/>
              <w:rPr>
                <w:sz w:val="20"/>
                <w:szCs w:val="20"/>
                <w:color w:val="auto"/>
              </w:rPr>
            </w:pPr>
            <w:r>
              <w:rPr>
                <w:rFonts w:ascii="Arial" w:cs="Arial" w:eastAsia="Arial" w:hAnsi="Arial"/>
                <w:sz w:val="18"/>
                <w:szCs w:val="18"/>
                <w:color w:val="auto"/>
              </w:rPr>
              <w:t>=    United States Securities and Exchange Commission</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TWh</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U.S.</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United States</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USD</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WTI</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2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2020 and 2019, and the consolidated results of our operations, cash flows, changes in partners’ capital, comprehensive income and changes in accumulated other comprehensive income/(loss) for the years ended December 31, 2020, 2019 and 2018. All significant intercompany transactions have been eliminated in consolidation, and certain reclassifications have been made to information from previous years to conform to the current presentation.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20" w:hanging="324"/>
        <w:spacing w:after="0" w:line="263"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With the exception of a deferred tax asset of $1.444 billion and $1.280 billion as of December 31, 2020 and 2019,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2020, 2019 or 2018. See Note 17 for information regarding the Omnibus Agreement entered into by the Plains Entities on November 15, 2016.</w:t>
      </w:r>
    </w:p>
    <w:p>
      <w:pPr>
        <w:spacing w:after="0" w:line="2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During 2020, the novel coronavirus (“COVID-19”) pandemic resulted in a swift and material decline in global crude oil demand, which contributed to an oversupply of crude oil that was exacerbated by increases in production from certain suppliers in the global oil markets. These macroeconomic and industry specific challenges resulted in a number of impairment charges recognized during 2020. See Note 6, Note 8 and Note 9 for further discussion of these impairments.</w:t>
      </w:r>
    </w:p>
    <w:p>
      <w:pPr>
        <w:spacing w:after="0" w:line="21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 (iii) fair value of derivatives, (iv) accruals and contingent liabilities, (v) property and equipment, depreciation and amortization expense and asset retirement obligations, (vi) impairment assessments of property and equipment and investments in unconsolidated entities and (vii) inventory valuations. Although we believe these estimates are reasonable, actual results could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NGL and natural gas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1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2020, 2019 and 2018, the revaluation of foreign currency transactions and monetary assets and liabilities resulted in the recognitions of net gains of $16 million, $1 million and $1 million, respectively, in our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1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2020 and 2019, trade accounts payable included $27 million and $39 million, respectively, of outstanding checks that were reclassified from cash and cash equivalents.</w:t>
      </w:r>
    </w:p>
    <w:p>
      <w:pPr>
        <w:spacing w:after="0" w:line="21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Consolidated Balance Sheets that sum to the total of the amount shown on our Consolidated Statements of Cash Flows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9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2020, 2019 and 2018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73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Liabilities incurred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settled</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Accretion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in estimated cash flows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7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respective footnotes for our accounting policies regarding (i) revenues and accounts receivable, (ii) net income/(loss) per Class A share,</w:t>
      </w:r>
    </w:p>
    <w:p>
      <w:pPr>
        <w:spacing w:after="0" w:line="46" w:lineRule="exact"/>
        <w:rPr>
          <w:sz w:val="20"/>
          <w:szCs w:val="20"/>
          <w:color w:val="auto"/>
        </w:rPr>
      </w:pPr>
    </w:p>
    <w:p>
      <w:pPr>
        <w:ind w:right="60" w:firstLine="8"/>
        <w:spacing w:after="0" w:line="255" w:lineRule="auto"/>
        <w:tabs>
          <w:tab w:leader="none" w:pos="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inventory, linefill and base gas and long-term inventory, (iv) property and equipment, (v) acquisitions, (vi) goodwill, (vii) investments in unconsolidated entities, (viii) other long-term assets, net, (ix) derivatives and risk management activities, (x) leases, (xi) income taxes, (xii) equity-indexed compensation and (xiii) legal and environmental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are currently evaluating the effect that this guidance will have on our financial position, results of operations and cash flows.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expedients and exceptions for applying GAAP to contracts, hedging relationships and other transactions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LIBOR or another reference rate expected to be discontinued because of reference rate reform. This guidance is effective prospectively upon issuance through December 31, 2022 and may be applied from the beginning of an interim period that includes the issuance date of this ASU. We will apply applicable expedients and exceptions to contract modifications through December 31, 2022.</w:t>
      </w:r>
    </w:p>
    <w:p>
      <w:pPr>
        <w:spacing w:after="0" w:line="20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will adopt this guidance effective January 1, 2021, and do not anticipate that the adoption will have a material impact on our financial position, results of operations or cash flows.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April 2019, the FASB issued ASU 2019-04, </w:t>
      </w:r>
      <w:r>
        <w:rPr>
          <w:rFonts w:ascii="Arial" w:cs="Arial" w:eastAsia="Arial" w:hAnsi="Arial"/>
          <w:sz w:val="18"/>
          <w:szCs w:val="18"/>
          <w:i w:val="1"/>
          <w:iCs w:val="1"/>
          <w:color w:val="auto"/>
        </w:rPr>
        <w:t>Codification Improvements to Topic 326, Financial Instruments—Credit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which clarifies certain aspects of accounting for credit losses, hedging activities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We adopted this guidance effective January 1, 2020, and our adoption did not have a material impact on our financial position, results of operations or cash flows.</w:t>
      </w:r>
    </w:p>
    <w:p>
      <w:pPr>
        <w:spacing w:after="0" w:line="21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w:t>
      </w:r>
      <w:r>
        <w:rPr>
          <w:rFonts w:ascii="Arial" w:cs="Arial" w:eastAsia="Arial" w:hAnsi="Arial"/>
          <w:sz w:val="16"/>
          <w:szCs w:val="16"/>
          <w:color w:val="auto"/>
        </w:rPr>
        <w:t>, in response to stakeholder observations that improvements could be made by requiring reporting entities to consider indirect interests held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related parties under common control on a proportional basis rather than as the equivalent of a direct interest in its entirety as currently required in GAAP. This guidance is effective for interim and annual periods beginning after December 15, 2019, with early adoption permitted. We adopted this guidance effective January 1, 2020, and our adoption did not have a material impact on our financial position, results of operations or cash flows.</w:t>
      </w:r>
    </w:p>
    <w:p>
      <w:pPr>
        <w:spacing w:after="0" w:line="18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to address the accounting for implementation costs of a hosting arrangement that is a service contract and to align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hosting arrangements, regardless of whether they convey a license to the hosted software. This guidance is effective for interim and annual periods beginning after December 15, 2019, with early adoption permitted. We adopted this guidance effective January 1, 2020, and our adoption did not have a material impact on our financial position, results of operations or cash flows.</w:t>
      </w:r>
    </w:p>
    <w:p>
      <w:pPr>
        <w:spacing w:after="0" w:line="2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modifying the disclosure requirements on fair value measurements in Topic 820. This guidance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and annual periods beginning after December 15, 2019, with early adoption permitted. We adopted this guidance effective January 1, 2020, and our adoption did not have a material impact on our financial position, results of operations or cash flows.</w:t>
      </w:r>
    </w:p>
    <w:p>
      <w:pPr>
        <w:spacing w:after="0" w:line="19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(followed by a series of related accounting standard updates), which amends guidance on the impairment of financial instruments and adds an</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model (known as the current expected credit loss (or CECL) model) that is based on expected losses rather than incurred losses. This guidance became effective for interim and annual periods beginning after December 15, 2019, with early adoption permitted by one year. We adopted this guidance effective January 1, 2020, and our adoption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disaggregate our revenues by segment and type of activity. These categories depict how the nature, amount, timing and uncertainty of revenues and cash flows are affected by economic factors.</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21,202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29,592</w:t>
            </w: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22,351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exchanges under buy/sell transactions are excluded from Supply and Logistics segment revenues in our Consolidated Statements of Operations. Revenues recognized by our Supply and Logistics segment primarily represent margin based activities.</w:t>
      </w:r>
    </w:p>
    <w:p>
      <w:pPr>
        <w:spacing w:after="0" w:line="21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See “</w:t>
      </w:r>
      <w:r>
        <w:rPr>
          <w:rFonts w:ascii="Arial" w:cs="Arial" w:eastAsia="Arial" w:hAnsi="Arial"/>
          <w:sz w:val="18"/>
          <w:szCs w:val="18"/>
          <w:i w:val="1"/>
          <w:iCs w:val="1"/>
          <w:color w:val="auto"/>
        </w:rPr>
        <w:t>Contract Balances</w:t>
      </w:r>
      <w:r>
        <w:rPr>
          <w:rFonts w:ascii="Arial" w:cs="Arial" w:eastAsia="Arial" w:hAnsi="Arial"/>
          <w:sz w:val="18"/>
          <w:szCs w:val="18"/>
          <w:color w:val="auto"/>
        </w:rPr>
        <w:t>” below for further discussion of contract liabilities associated with these agreements. The following table presents amounts in Other current assets and deferred revenue associated with these agreements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304"/>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Deferred revenue </w:t>
            </w:r>
            <w:r>
              <w:rPr>
                <w:rFonts w:ascii="Arial" w:cs="Arial" w:eastAsia="Arial" w:hAnsi="Arial"/>
                <w:sz w:val="23"/>
                <w:szCs w:val="23"/>
                <w:color w:val="auto"/>
                <w:vertAlign w:val="superscript"/>
              </w:rPr>
              <w:t>(1)</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on our Consolidated Balance Sheet.</w:t>
      </w:r>
    </w:p>
    <w:p>
      <w:pPr>
        <w:spacing w:after="0" w:line="28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disaggregated by type of activity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tariff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29"/>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when we receive liquids from one connecting source and deliver the applicable product to another connecting carrier, fees from storage capacity agreements and fees associated with natural gas storage related activities (collectively “Crude oil, NGL and other terminalling and storage”), (ii) fees from natural gas and condensate processing services and from NGL fractionation and isomerization services (collectively, “NGL and natural gas processing and fractionation”) and (iii) loading and unloading fees at our rail terminals.</w:t>
      </w:r>
    </w:p>
    <w:p>
      <w:pPr>
        <w:spacing w:after="0" w:line="19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and revenues from entities accounted for by the equity method are not included in the disclosures. The following tables present the reconciliation of our revenues from contracts with customers (as described above for each segment) to segment revenues and total revenues as disclosed in our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6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6"/>
                <w:szCs w:val="16"/>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Facilities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Supply and Logistics</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5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25,455</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55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Pr>
          <w:p>
            <w:pPr>
              <w:spacing w:after="0"/>
              <w:rPr>
                <w:sz w:val="24"/>
                <w:szCs w:val="24"/>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29"/>
        </w:trPr>
        <w:tc>
          <w:tcPr>
            <w:tcW w:w="5580" w:type="dxa"/>
            <w:vAlign w:val="bottom"/>
            <w:gridSpan w:val="5"/>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Intersegment revenues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Pr>
          <w:p>
            <w:pPr>
              <w:spacing w:after="0"/>
              <w:rPr>
                <w:sz w:val="24"/>
                <w:szCs w:val="24"/>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gridSpan w:val="3"/>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55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transport or throughput a minimum volume over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820" w:type="dxa"/>
            <w:vAlign w:val="bottom"/>
          </w:tcPr>
          <w:p>
            <w:pPr>
              <w:spacing w:after="0"/>
              <w:rPr>
                <w:sz w:val="16"/>
                <w:szCs w:val="16"/>
                <w:color w:val="auto"/>
              </w:rPr>
            </w:pPr>
          </w:p>
        </w:tc>
        <w:tc>
          <w:tcPr>
            <w:tcW w:w="3340" w:type="dxa"/>
            <w:vAlign w:val="bottom"/>
            <w:gridSpan w:val="2"/>
          </w:tcPr>
          <w:p>
            <w:pPr>
              <w:ind w:left="160"/>
              <w:spacing w:after="0"/>
              <w:rPr>
                <w:sz w:val="20"/>
                <w:szCs w:val="20"/>
                <w:color w:val="auto"/>
              </w:rPr>
            </w:pPr>
            <w:r>
              <w:rPr>
                <w:rFonts w:ascii="Arial" w:cs="Arial" w:eastAsia="Arial" w:hAnsi="Arial"/>
                <w:sz w:val="14"/>
                <w:szCs w:val="14"/>
                <w:b w:val="1"/>
                <w:bCs w:val="1"/>
                <w:color w:val="auto"/>
              </w:rPr>
              <w:t>Financial Statement Classification</w:t>
            </w: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41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w:t>
            </w:r>
          </w:p>
        </w:tc>
        <w:tc>
          <w:tcPr>
            <w:tcW w:w="3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60" w:hanging="652"/>
        <w:spacing w:after="0" w:line="227" w:lineRule="auto"/>
        <w:tabs>
          <w:tab w:leader="none" w:pos="648"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Consolidated Financial Statements as we had not yet billed or collected such amounts.</w:t>
      </w:r>
    </w:p>
    <w:p>
      <w:pPr>
        <w:spacing w:after="0" w:line="28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changes in the liability balance associated with contracts with customers (in millions):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Amounts recognized as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hanging="11"/>
        <w:spacing w:after="0" w:line="277" w:lineRule="auto"/>
        <w:rPr>
          <w:sz w:val="20"/>
          <w:szCs w:val="20"/>
          <w:color w:val="auto"/>
        </w:rPr>
      </w:pPr>
      <w:r>
        <w:rPr>
          <w:rFonts w:ascii="Arial" w:cs="Arial" w:eastAsia="Arial" w:hAnsi="Arial"/>
          <w:sz w:val="18"/>
          <w:szCs w:val="18"/>
          <w:color w:val="auto"/>
        </w:rPr>
        <w:t>Includes approximately $155 million associated with crude oil sales agreements that are entered into in conjunction with storage arrangements and future inventory exchanges. Such amount was recognized as revenue in the first quarter of 2020.</w:t>
      </w:r>
    </w:p>
    <w:p>
      <w:pPr>
        <w:spacing w:after="0" w:line="8" w:lineRule="exact"/>
        <w:rPr>
          <w:sz w:val="20"/>
          <w:szCs w:val="20"/>
          <w:color w:val="auto"/>
        </w:rPr>
      </w:pPr>
    </w:p>
    <w:p>
      <w:pPr>
        <w:ind w:right="420" w:hanging="11"/>
        <w:spacing w:after="0" w:line="342" w:lineRule="auto"/>
        <w:rPr>
          <w:sz w:val="20"/>
          <w:szCs w:val="20"/>
          <w:color w:val="auto"/>
        </w:rPr>
      </w:pPr>
      <w:r>
        <w:rPr>
          <w:rFonts w:ascii="Arial" w:cs="Arial" w:eastAsia="Arial" w:hAnsi="Arial"/>
          <w:sz w:val="16"/>
          <w:szCs w:val="16"/>
          <w:color w:val="auto"/>
        </w:rPr>
        <w:t>Includes approximately $361 million, as discussed above, associated with crude oil sales agreements that are entered into in conjunction with storage arrangements and future inventory exchanges. Such amount is expected to be recognized as revenue in the first quarter of 2021.</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2020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43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174</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166</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6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160"/>
              <w:spacing w:after="0" w:line="176" w:lineRule="exact"/>
              <w:rPr>
                <w:sz w:val="20"/>
                <w:szCs w:val="20"/>
                <w:color w:val="auto"/>
              </w:rPr>
            </w:pPr>
            <w:r>
              <w:rPr>
                <w:rFonts w:ascii="Arial" w:cs="Arial" w:eastAsia="Arial" w:hAnsi="Arial"/>
                <w:sz w:val="18"/>
                <w:szCs w:val="18"/>
                <w:color w:val="auto"/>
              </w:rPr>
              <w:t>Storage, terminalling and throughput agreement</w:t>
            </w:r>
          </w:p>
        </w:tc>
        <w:tc>
          <w:tcPr>
            <w:tcW w:w="68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3"/>
              </w:rPr>
              <w:t>340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3"/>
              </w:rPr>
              <w:t>273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revenues</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right="20" w:hanging="164"/>
        <w:spacing w:after="0" w:line="277" w:lineRule="auto"/>
        <w:tabs>
          <w:tab w:leader="none" w:pos="8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36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219"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2020 and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tbl>
      <w:tblPr>
        <w:tblLayout w:type="fixed"/>
        <w:tblInd w:w="6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r>
      <w:tr>
        <w:trPr>
          <w:trHeight w:val="187"/>
        </w:trPr>
        <w:tc>
          <w:tcPr>
            <w:tcW w:w="73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2019</w:t>
            </w: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2,317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3,381</w:t>
            </w:r>
          </w:p>
        </w:tc>
      </w:tr>
      <w:tr>
        <w:trPr>
          <w:trHeight w:val="229"/>
        </w:trPr>
        <w:tc>
          <w:tcPr>
            <w:tcW w:w="7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1200" w:type="dxa"/>
            <w:vAlign w:val="bottom"/>
          </w:tcPr>
          <w:p>
            <w:pPr>
              <w:spacing w:after="0"/>
              <w:rPr>
                <w:sz w:val="19"/>
                <w:szCs w:val="19"/>
                <w:color w:val="auto"/>
              </w:rPr>
            </w:pPr>
          </w:p>
        </w:tc>
        <w:tc>
          <w:tcPr>
            <w:tcW w:w="660" w:type="dxa"/>
            <w:vAlign w:val="bottom"/>
          </w:tcPr>
          <w:p>
            <w:pPr>
              <w:jc w:val="center"/>
              <w:ind w:left="14"/>
              <w:spacing w:after="0"/>
              <w:rPr>
                <w:sz w:val="20"/>
                <w:szCs w:val="20"/>
                <w:color w:val="auto"/>
              </w:rPr>
            </w:pPr>
            <w:r>
              <w:rPr>
                <w:rFonts w:ascii="Arial" w:cs="Arial" w:eastAsia="Arial" w:hAnsi="Arial"/>
                <w:sz w:val="18"/>
                <w:szCs w:val="18"/>
                <w:color w:val="auto"/>
                <w:w w:val="88"/>
              </w:rPr>
              <w:t>2,818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Arial" w:cs="Arial" w:eastAsia="Arial" w:hAnsi="Arial"/>
                <w:sz w:val="18"/>
                <w:szCs w:val="18"/>
                <w:color w:val="auto"/>
                <w:w w:val="88"/>
              </w:rPr>
              <w:t>3,576</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(2,582)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(3,343)</w:t>
            </w:r>
          </w:p>
        </w:tc>
      </w:tr>
      <w:tr>
        <w:trPr>
          <w:trHeight w:val="223"/>
        </w:trPr>
        <w:tc>
          <w:tcPr>
            <w:tcW w:w="7300" w:type="dxa"/>
            <w:vAlign w:val="bottom"/>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2,553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3,614</w:t>
            </w:r>
          </w:p>
        </w:tc>
      </w:tr>
      <w:tr>
        <w:trPr>
          <w:trHeight w:val="21"/>
        </w:trPr>
        <w:tc>
          <w:tcPr>
            <w:tcW w:w="7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income/(loss) per Class B and Class C share has not been presented.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for information regarding PAGP LTIP awards.</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 weighted-average basis, for the year ended December 31, 2019, the possible exchange of 99 million AAP units would not have had a dilutive effect on basic net income/(loss) per Class A share. For the year ended December 31, 2020, the possible exchange of 1 million AAP Management Units would not have had a dilutive effect on basic net income/(loss) per Class A share on a weighted-average basis. For the year ended December 31, 2020, our PAGP LTIP awards were antidilutive. For the years ended December 31, 2019 and 2018 our PAGP LTIP awards were dilutive; however, there were less than 0.1 million dilutive LTIP awards for each period, which did not change the presentation of weighted average Class A shares outstanding or net income/(loss) per Class A share.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Class A share (in millions,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Net income/(loss) attributable to PAGP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net income/(loss) per Class A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Net income/(loss) attributable to PAGP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75"/>
        </w:trPr>
        <w:tc>
          <w:tcPr>
            <w:tcW w:w="7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Incremental net income/(loss) attributable to PAGP resulting from assumed exchange of AAP</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 and AAP Management Units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500" w:type="dxa"/>
            <w:vAlign w:val="bottom"/>
          </w:tcPr>
          <w:p>
            <w:pPr>
              <w:ind w:left="140"/>
              <w:spacing w:after="0" w:line="156" w:lineRule="exact"/>
              <w:rPr>
                <w:sz w:val="20"/>
                <w:szCs w:val="20"/>
                <w:color w:val="auto"/>
              </w:rPr>
            </w:pPr>
            <w:r>
              <w:rPr>
                <w:rFonts w:ascii="Arial" w:cs="Arial" w:eastAsia="Arial" w:hAnsi="Arial"/>
                <w:sz w:val="18"/>
                <w:szCs w:val="18"/>
                <w:color w:val="auto"/>
                <w:w w:val="98"/>
              </w:rPr>
              <w:t>Net income/(loss) attributable to PAGP including incremental net income/(loss) from assumed</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8"/>
        </w:trPr>
        <w:tc>
          <w:tcPr>
            <w:tcW w:w="7500" w:type="dxa"/>
            <w:vAlign w:val="bottom"/>
          </w:tcPr>
          <w:p>
            <w:pPr>
              <w:ind w:left="300"/>
              <w:spacing w:after="0" w:line="202" w:lineRule="exact"/>
              <w:rPr>
                <w:sz w:val="20"/>
                <w:szCs w:val="20"/>
                <w:color w:val="auto"/>
              </w:rPr>
            </w:pPr>
            <w:r>
              <w:rPr>
                <w:rFonts w:ascii="Arial" w:cs="Arial" w:eastAsia="Arial" w:hAnsi="Arial"/>
                <w:sz w:val="18"/>
                <w:szCs w:val="18"/>
                <w:color w:val="auto"/>
              </w:rPr>
              <w:t>exchange of AAP units and AAP Management Units</w:t>
            </w: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Dilutive shares resulting from assumed exchange of AAP units and AAP Management Units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Diluted weighted average Class A shares outstanding</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Diluted net income/(loss) per Class A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2020, 2019 and 2018, we recorded charges of $233 million (of which $40 million was associated with our long-term inventory), $11 million and $8 million, respectively, related to the write down of our crude oil and NGL inventory due to declines in prices. A portion of these inventory valuation adjustments was offset by the recognition of gains on derivative instruments being utilized to hedge future sales of our crude oil and NGL inventory. Such gains were recorded to “Supply and Logistics segment revenues” in our accompanying Consolidated Statements of Operations. See Note 13 for discussion of our derivative and risk management activities.</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Linefill and base gas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2020, 2019 and 2018, we did not recognize any material impairments of linefill and base gas.</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ectPr>
          <w:pgSz w:w="11900" w:h="16838" w:orient="portrait"/>
          <w:cols w:equalWidth="0" w:num="1">
            <w:col w:w="11220"/>
          </w:cols>
          <w:pgMar w:left="320" w:top="125" w:right="359" w:bottom="1440" w:gutter="0" w:footer="0" w:header="0"/>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1"/>
                <w:szCs w:val="11"/>
                <w:color w:val="auto"/>
              </w:rPr>
            </w:pPr>
          </w:p>
        </w:tc>
        <w:tc>
          <w:tcPr>
            <w:tcW w:w="800" w:type="dxa"/>
            <w:vAlign w:val="bottom"/>
          </w:tcPr>
          <w:p>
            <w:pPr>
              <w:jc w:val="right"/>
              <w:ind w:right="9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940" w:type="dxa"/>
            <w:vAlign w:val="bottom"/>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Inventory 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7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94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Natural gas</w:t>
            </w:r>
          </w:p>
        </w:tc>
        <w:tc>
          <w:tcPr>
            <w:tcW w:w="940" w:type="dxa"/>
            <w:vAlign w:val="bottom"/>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Linefill and base gas 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7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94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-2682240</wp:posOffset>
            </wp:positionV>
            <wp:extent cx="7054850" cy="26657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9">
                      <a:extLst>
                        <a:ext uri="{28A0092B-C50C-407E-A947-70E740481C1C}"/>
                      </a:extLst>
                    </a:blip>
                    <a:srcRect/>
                    <a:stretch>
                      <a:fillRect/>
                    </a:stretch>
                  </pic:blipFill>
                  <pic:spPr bwMode="auto">
                    <a:xfrm>
                      <a:off x="0" y="0"/>
                      <a:ext cx="7054850" cy="2665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9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vMerge w:val="restart"/>
          </w:tcPr>
          <w:p>
            <w:pPr>
              <w:spacing w:after="0"/>
              <w:rPr>
                <w:sz w:val="12"/>
                <w:szCs w:val="12"/>
                <w:color w:val="auto"/>
              </w:rPr>
            </w:pPr>
          </w:p>
        </w:tc>
        <w:tc>
          <w:tcPr>
            <w:tcW w:w="1040" w:type="dxa"/>
            <w:vAlign w:val="bottom"/>
            <w:tcBorders>
              <w:top w:val="single" w:sz="8" w:color="auto"/>
            </w:tcBorders>
            <w:gridSpan w:val="2"/>
          </w:tcPr>
          <w:p>
            <w:pPr>
              <w:ind w:left="260"/>
              <w:spacing w:after="0" w:line="141" w:lineRule="exact"/>
              <w:rPr>
                <w:sz w:val="20"/>
                <w:szCs w:val="20"/>
                <w:color w:val="auto"/>
              </w:rPr>
            </w:pPr>
            <w:r>
              <w:rPr>
                <w:rFonts w:ascii="Arial" w:cs="Arial" w:eastAsia="Arial" w:hAnsi="Arial"/>
                <w:sz w:val="14"/>
                <w:szCs w:val="14"/>
                <w:b w:val="1"/>
                <w:bCs w:val="1"/>
                <w:color w:val="auto"/>
              </w:rPr>
              <w:t>Unit of</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4"/>
              <w:spacing w:after="0" w:line="141"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Measure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438"/>
        </w:trPr>
        <w:tc>
          <w:tcPr>
            <w:tcW w:w="94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0"/>
        </w:trPr>
        <w:tc>
          <w:tcPr>
            <w:tcW w:w="10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940" w:type="dxa"/>
            <w:vAlign w:val="bottom"/>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9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200"/>
            <w:col w:w="4160"/>
          </w:cols>
          <w:pgMar w:left="320" w:top="125" w:right="359" w:bottom="1440" w:gutter="0" w:footer="0" w:header="0"/>
          <w:type w:val="continuous"/>
        </w:sectPr>
      </w:pPr>
    </w:p>
    <w:p>
      <w:pPr>
        <w:spacing w:after="0" w:line="339" w:lineRule="exact"/>
        <w:rPr>
          <w:sz w:val="20"/>
          <w:szCs w:val="20"/>
          <w:color w:val="auto"/>
        </w:rPr>
      </w:pPr>
    </w:p>
    <w:p>
      <w:pPr>
        <w:ind w:left="660" w:right="340" w:hanging="652"/>
        <w:spacing w:after="0" w:line="227" w:lineRule="auto"/>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2020, 2019 and 2018, capitalized interest recorded to property and equipment was $8 million, $14 million and $21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Estimated Useful</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01"/>
        </w:trPr>
        <w:tc>
          <w:tcPr>
            <w:tcW w:w="656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Lives (Years)</w:t>
            </w: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3"/>
                <w:szCs w:val="23"/>
                <w:color w:val="auto"/>
                <w:vertAlign w:val="superscript"/>
              </w:rPr>
              <w:t>(1)</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Storage, terminal and rail facilities</w:t>
            </w:r>
          </w:p>
        </w:tc>
        <w:tc>
          <w:tcPr>
            <w:tcW w:w="1580" w:type="dxa"/>
            <w:vAlign w:val="bottom"/>
          </w:tcPr>
          <w:p>
            <w:pPr>
              <w:jc w:val="center"/>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Trucking equipment and other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property and equipment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and other</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gross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calculate our depreciation using the straight-line method, based on estimated useful lives and salvage values of our assets. Depreciation expense for the years ended December 31, 2020, 2019 and 2018 was $566 million, $528 million and $455 million, respectively. See “Impairment of Long-Lived Assets (Held and Used)” below for a discussion of our policy for the recognition of asset impairments.</w:t>
      </w:r>
    </w:p>
    <w:p>
      <w:pPr>
        <w:spacing w:after="0" w:line="1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2020, 2019 and 2018, we incurred liabilities for construction in progress that had not been paid of $51 million, $120 million and $206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(Held and Used)</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19" w:lineRule="exact"/>
        <w:rPr>
          <w:sz w:val="20"/>
          <w:szCs w:val="20"/>
          <w:color w:val="auto"/>
        </w:rPr>
      </w:pPr>
    </w:p>
    <w:p>
      <w:pPr>
        <w:jc w:val="both"/>
        <w:ind w:right="520" w:firstLine="648"/>
        <w:spacing w:after="0" w:line="286" w:lineRule="auto"/>
        <w:rPr>
          <w:sz w:val="20"/>
          <w:szCs w:val="20"/>
          <w:color w:val="auto"/>
        </w:rPr>
      </w:pPr>
      <w:r>
        <w:rPr>
          <w:rFonts w:ascii="Arial" w:cs="Arial" w:eastAsia="Arial" w:hAnsi="Arial"/>
          <w:sz w:val="17"/>
          <w:szCs w:val="17"/>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57"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year ended December 31, 2020, we recognized approximately $541 million of non-cash impairment losses, reflected in “(Gains)/losses on asset sales and asset impairments, net”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Of our impairment losses, approximately $415 million was associated with certain pipeline assets in our Transportation segment located in the Central region. The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future commodity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12"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The remaining impairment losses were associated with idled or underutilized assets, including certain pipelines in our Transportation segment located in the Western region and other long-lived assets in our Facilities segment, for which it has been determined that it is unlikely that opportunities will exist in the future to recover our investment in these assets. We wrote off substantially all of the carrying value of these assets.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material impairments during the years ended December 31, 2019 or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February 2020, we acquired Felix Midstream LLC, now known as FM Gathering LLC (“FM Gathering”) from Felix 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included in our Transportation and Supply and Logistics segments. This acquisition was accounted for using the acquisition method of accounting and the determination of the fair value of the assets acquired and liabilities assumed was determined in accordance with the applicable accounting guidance. The assets acquired primarily consisted of property and equipment of $115 million and intangible assets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21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During the second quarter of 2019, we acquired a crude oil terminal, including tank bottoms and linefill, in Cushing, Oklahoma for cash consideration of $44 million, which was accounted for as an asset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2020, we received cash proceeds of $451 million, primarily from the sale of:</w:t>
      </w:r>
    </w:p>
    <w:p>
      <w:pPr>
        <w:spacing w:after="0" w:line="185" w:lineRule="exact"/>
        <w:rPr>
          <w:sz w:val="20"/>
          <w:szCs w:val="20"/>
          <w:color w:val="auto"/>
        </w:rPr>
      </w:pPr>
    </w:p>
    <w:p>
      <w:pPr>
        <w:ind w:left="980" w:right="400" w:hanging="324"/>
        <w:spacing w:after="0" w:line="277"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Los Angeles Basin crude oil terminals previously disclosed in our Facilities segment for proceeds of approximately $200 million, subject to certain adjustments;</w:t>
      </w:r>
    </w:p>
    <w:p>
      <w:pPr>
        <w:spacing w:after="0" w:line="143"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NGL terminals previously disclosed in our Facilities segment for proceeds of approximately $163 million (including $22 million related to a multi-year supply agreement related to the sale), subject to certain adjustments; and</w:t>
      </w:r>
    </w:p>
    <w:p>
      <w:pPr>
        <w:spacing w:after="0" w:line="129"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a 10% ownership interest in Saddlehorn Pipeline Company, LLC (“Saddlehorn”) for proceeds of approximately $78 million, including working capital adjustments (see Note 9 for additional information).</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recognized a loss related to these assets sales of $178 million, including non-cash impairments recognized upon classification to assets held for sale, for the year ended December 31, 2020. Such amount is included in “(Gains)/losses on asset sales and asset impairments, net”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year ended December 31, 2019, we sold certain non-core assets for total proceeds of $77 million that primarily consisted of a storage terminal in North Dakota, which was previously reported in our Facilities segment. For the year ended December 31, 2019, we recognized a net loss related to these asset sales of $16 million, which is comprised of gains of $31 million and losses of $47 million. Such amounts are included in “(Gains)/losses on asset sales and asset impairments, net” on our Consolidated Statement of Operations.</w:t>
      </w:r>
    </w:p>
    <w:p>
      <w:pPr>
        <w:spacing w:after="0" w:line="21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the year ended December 31, 2018, we received proceeds from asset sales of $1.334 billion, which primarily consisted of the sale of a 30% interest in BridgeTex Pipeline Company, LLC for proceeds of $868 million, resulting in a gain of $200 million. See Note 9 for additional discussion. The other assets sold during the year ended December 31, 2018 primarily included non-core property and equipment or are associated with the formation of strategic joint ventures and were previously reported in our Facilities and Transportation segments. For the year ended December 31, 2018, we recognized a net gain on sales of assets of $120 million, which is comprised of gains of $146 million and losses of $26 million. Such amounts are included in “(Gains)/losses on asset sales and asset impairments, net” on our Consolidated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9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model.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19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of $2.515 billion related to goodwill. Our market capitalization declined significantly during the first quarter driven by macroeconomic and geopolitical conditions that occurred in 2020, including the collapse of oil prices driven by both the decrease in demand caused by the COVID-19 pandemic and excess supply, as well as changing market conditions and expected lower crude oil production in certain regions, that resulted in expected decreases in future cash flows for certain of our assets, which we concluded was a triggering event that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as of March 31, 2020.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As a result of the impairment test, we concluded that the carrying value of each of our reporting units exceeded their respective fair values, resulting in a goodwill impairment charge for the entire goodwill balance for each reporting unit. Prior to the year ended December 31, 2020, we did not recognize any impairments of goodwill.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4"/>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tcPr>
          <w:p>
            <w:pPr>
              <w:ind w:left="260"/>
              <w:spacing w:after="0"/>
              <w:rPr>
                <w:sz w:val="20"/>
                <w:szCs w:val="20"/>
                <w:color w:val="auto"/>
              </w:rPr>
            </w:pPr>
            <w:r>
              <w:rPr>
                <w:rFonts w:ascii="Arial" w:cs="Arial" w:eastAsia="Arial" w:hAnsi="Arial"/>
                <w:sz w:val="18"/>
                <w:szCs w:val="18"/>
                <w:color w:val="auto"/>
              </w:rPr>
              <w:t>Acquisitions</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Borders>
              <w:top w:val="single" w:sz="8" w:color="CCEEFF"/>
              <w:bottom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23"/>
        </w:trPr>
        <w:tc>
          <w:tcPr>
            <w:tcW w:w="5040" w:type="dxa"/>
            <w:vAlign w:val="bottom"/>
          </w:tcPr>
          <w:p>
            <w:pPr>
              <w:ind w:left="240"/>
              <w:spacing w:after="0"/>
              <w:rPr>
                <w:sz w:val="20"/>
                <w:szCs w:val="20"/>
                <w:color w:val="auto"/>
              </w:rPr>
            </w:pPr>
            <w:r>
              <w:rPr>
                <w:rFonts w:ascii="Arial" w:cs="Arial" w:eastAsia="Arial" w:hAnsi="Arial"/>
                <w:sz w:val="18"/>
                <w:szCs w:val="18"/>
                <w:color w:val="auto"/>
              </w:rPr>
              <w:t>Impairments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5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280" w:type="dxa"/>
            <w:vAlign w:val="bottom"/>
          </w:tcPr>
          <w:p>
            <w:pPr>
              <w:spacing w:after="0"/>
              <w:rPr>
                <w:sz w:val="14"/>
                <w:szCs w:val="14"/>
                <w:color w:val="auto"/>
              </w:rPr>
            </w:pPr>
          </w:p>
        </w:tc>
        <w:tc>
          <w:tcPr>
            <w:tcW w:w="22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Interest at</w:t>
            </w:r>
          </w:p>
        </w:tc>
        <w:tc>
          <w:tcPr>
            <w:tcW w:w="280" w:type="dxa"/>
            <w:vAlign w:val="bottom"/>
          </w:tcPr>
          <w:p>
            <w:pPr>
              <w:spacing w:after="0"/>
              <w:rPr>
                <w:sz w:val="4"/>
                <w:szCs w:val="4"/>
                <w:color w:val="auto"/>
              </w:rPr>
            </w:pPr>
          </w:p>
        </w:tc>
        <w:tc>
          <w:tcPr>
            <w:tcW w:w="22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rPr>
              <w:t>December 31,</w:t>
            </w:r>
          </w:p>
        </w:tc>
        <w:tc>
          <w:tcPr>
            <w:tcW w:w="2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880" w:type="dxa"/>
            <w:vAlign w:val="bottom"/>
            <w:gridSpan w:val="2"/>
          </w:tcPr>
          <w:p>
            <w:pPr>
              <w:ind w:left="20"/>
              <w:spacing w:after="0" w:line="199" w:lineRule="exact"/>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 (“BridgeTex”)</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Cactus II Pipeline LLC (“Cactus II”)</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Diamond Pipeline LLC (“Diamond”)</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 (“Eagle Ford Pipeline”)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5"/>
        </w:trPr>
        <w:tc>
          <w:tcPr>
            <w:tcW w:w="4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 Ford</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vMerge w:val="restart"/>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Terminals”)</w:t>
            </w:r>
          </w:p>
        </w:tc>
        <w:tc>
          <w:tcPr>
            <w:tcW w:w="24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Saddlehorn</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 (“STACK”)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 (“W2W Pipeline”)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investments</w:t>
            </w: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During the year ended December 31, 2020, we recognized losses as a result of the write-down of certain of our investments in unconsolidated entities, as discussed further below. Such amounts are reflected in “Gain on/(impairment of) investments in unconsolidated entities, net” on our Consolidated Statement of Operations.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STACK. </w:t>
      </w:r>
      <w:r>
        <w:rPr>
          <w:rFonts w:ascii="Arial" w:cs="Arial" w:eastAsia="Arial" w:hAnsi="Arial"/>
          <w:sz w:val="16"/>
          <w:szCs w:val="16"/>
          <w:color w:val="auto"/>
        </w:rPr>
        <w:t>During the third quarter of 2020, we determined that there was an other-than-temporary impairment of our investment in STACK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LLC as a result of a continued decline of drilling activity and related volumes of crude oil in its area of operation. We recognized a loss of $91 million related to the write-down of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i w:val="1"/>
          <w:iCs w:val="1"/>
          <w:color w:val="auto"/>
        </w:rPr>
        <w:t>Red Oak</w:t>
      </w:r>
      <w:r>
        <w:rPr>
          <w:rFonts w:ascii="Arial" w:cs="Arial" w:eastAsia="Arial" w:hAnsi="Arial"/>
          <w:sz w:val="16"/>
          <w:szCs w:val="16"/>
          <w:color w:val="auto"/>
        </w:rPr>
        <w:t>. In June 2019, we announced the formation of Red Oak, a joint venture with a subsidiary of Phillips 66. We own a 50% interest in Red</w:t>
      </w:r>
      <w:r>
        <w:rPr>
          <w:rFonts w:ascii="Arial" w:cs="Arial" w:eastAsia="Arial" w:hAnsi="Arial"/>
          <w:sz w:val="16"/>
          <w:szCs w:val="16"/>
          <w:i w:val="1"/>
          <w:iCs w:val="1"/>
          <w:color w:val="auto"/>
        </w:rPr>
        <w:t xml:space="preserve"> </w:t>
      </w:r>
      <w:r>
        <w:rPr>
          <w:rFonts w:ascii="Arial" w:cs="Arial" w:eastAsia="Arial" w:hAnsi="Arial"/>
          <w:sz w:val="16"/>
          <w:szCs w:val="16"/>
          <w:color w:val="auto"/>
        </w:rPr>
        <w:t>Oak, which is accounted for under the equity method of accounting. Red Oak was developing a new pipeline that would provide crude oil transportation service from Cushing, Oklahoma, and the Permian Basin in West Texas to multiple destinations along the Texas Gulf Coast, including Corpus Christi, Ingleside, Houston and Beaumont, Texas. In March 2020, the partners of Red Oak announced they were deferring the Red Oak pipeline project and suspending actions that would require additional capital spending on the project, and that they would re-evaluate demand for the project in light of recent market developments. Subsequently, the partners determined that the project would not proceed as previously contemplated. We determined that there was an other-than-temporary impairment of our investment in Red Oak, and we recognized a loss of $69 million related to the write-down of our investment in Red Oak to the estimated residual value of our share of the net assets during the second quarter of 2020.</w:t>
      </w:r>
    </w:p>
    <w:p>
      <w:pPr>
        <w:spacing w:after="0" w:line="192"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i w:val="1"/>
          <w:iCs w:val="1"/>
          <w:color w:val="auto"/>
        </w:rPr>
        <w:t xml:space="preserve">Other investments. </w:t>
      </w:r>
      <w:r>
        <w:rPr>
          <w:rFonts w:ascii="Arial" w:cs="Arial" w:eastAsia="Arial" w:hAnsi="Arial"/>
          <w:sz w:val="16"/>
          <w:szCs w:val="16"/>
          <w:color w:val="auto"/>
        </w:rPr>
        <w:t>During the first quarter of 2020, we also recognized a loss of $43 million related to the write-down of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included in “Other investments” in the table above due to an other-than-temporary impairment related to a decline in market conditions.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w:t>
      </w:r>
    </w:p>
    <w:p>
      <w:pPr>
        <w:spacing w:after="0" w:line="25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Capline LLC</w:t>
      </w:r>
      <w:r>
        <w:rPr>
          <w:rFonts w:ascii="Arial" w:cs="Arial" w:eastAsia="Arial" w:hAnsi="Arial"/>
          <w:sz w:val="18"/>
          <w:szCs w:val="18"/>
          <w:color w:val="auto"/>
        </w:rPr>
        <w:t>. During the first quarter of 2019, the owners of the Capline pipeline system contributed their undivided joint interests in the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to a newly formed entity, Capline Pipeline 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21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Transportation segment. We determined the fair value of our investment in Capline LLC to be approximately $444 million, resulting in the recognition of a gain of $269 million during the year ended December 31, 2019. Such gain is included in “Gain on/(impairment of) investment in unconsolidated entities, net” on our Consolidated Statement of Operations.</w:t>
      </w:r>
    </w:p>
    <w:p>
      <w:pPr>
        <w:spacing w:after="0" w:line="20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fair value of our investment in Capline LLC was based on an income approach utilizing a discounted cash flow analysis. The cash flow forecasts require the use of various assumptions and estimates which include those related to the timing and amount of capital expenditures, the expected tariff rates and volumes of crude oil, and the terminal value. We probability-weighted various forecasted cash flow scenarios utilized in the analysis when we considered the possible outcomes. We used a discount rate representing our estimate of the risk adjusted discount rate that would be used by market participants.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W2W Pipeline</w:t>
      </w:r>
      <w:r>
        <w:rPr>
          <w:rFonts w:ascii="Arial" w:cs="Arial" w:eastAsia="Arial" w:hAnsi="Arial"/>
          <w:sz w:val="18"/>
          <w:szCs w:val="18"/>
          <w:color w:val="auto"/>
        </w:rPr>
        <w:t>. In 2019, we participated in the formation of W2W Pipeline, a joint venture with subsidiaries of ExxonMobil, Lotus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three additional entities, in which we own a 16% interest. We account for our interest in W2W Pipeline under the equity method of accounting. W2W Pipeline has entered into an undivided joint-ownership arrangement with a subsidiary of Enterprise Products Partners, L.P. that has acquired 29% of the capacity of the pipeline segment from Midland, Texas to Webster, Texas, and W2W Pipeline now owns 71% of this segment of the pipeline. The pipeline originates in the Permian Basin in West Texas and transports crude oil to multiple destinations in the Houston and Galveston market areas. The pipeline system, which is currently in partial service, will provide approximately 1.5 million barrels per day of crude oil capacity (1.1 million barrels per day, net to the undivided joint ownership interest).</w:t>
      </w:r>
    </w:p>
    <w:p>
      <w:pPr>
        <w:spacing w:after="0" w:line="222"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i w:val="1"/>
          <w:iCs w:val="1"/>
          <w:color w:val="auto"/>
        </w:rPr>
        <w:t>Cushing Connect</w:t>
      </w:r>
      <w:r>
        <w:rPr>
          <w:rFonts w:ascii="Arial" w:cs="Arial" w:eastAsia="Arial" w:hAnsi="Arial"/>
          <w:sz w:val="16"/>
          <w:szCs w:val="16"/>
          <w:color w:val="auto"/>
        </w:rPr>
        <w:t>. During the fourth quarter of 2019, we announced the formation of Cushing Connect Pipeline &amp; Terminal LLC,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Holly Energy Partners LP for (i) the development and construction of a new 160,000 barrel per day pipeline that will connect the Cushing, Oklahoma crude oil hub to the Tulsa, Oklahoma refining complex owned by a subsidiary of HollyFrontier Corporation and (ii) the ownership and operation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1.5 million barrels of crude oil storage in Cushing, Oklahoma (the “JV Terminal”). We contributed the crude oil storage to Cushing Connect and own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 interest, which is accounted for under the equity method of accounting. The pipeline is expected to be in service during the first quarter of 2021.</w:t>
      </w:r>
    </w:p>
    <w:p>
      <w:pPr>
        <w:spacing w:after="0" w:line="24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Cactus II. </w:t>
      </w:r>
      <w:r>
        <w:rPr>
          <w:rFonts w:ascii="Arial" w:cs="Arial" w:eastAsia="Arial" w:hAnsi="Arial"/>
          <w:sz w:val="16"/>
          <w:szCs w:val="16"/>
          <w:color w:val="auto"/>
        </w:rPr>
        <w:t>In the second quarter of 2018, a subsidiary of Oxy and another third party each exercised their purchase options for a 20% interest and a</w:t>
      </w:r>
      <w:r>
        <w:rPr>
          <w:rFonts w:ascii="Arial" w:cs="Arial" w:eastAsia="Arial" w:hAnsi="Arial"/>
          <w:sz w:val="16"/>
          <w:szCs w:val="16"/>
          <w:i w:val="1"/>
          <w:iCs w:val="1"/>
          <w:color w:val="auto"/>
        </w:rPr>
        <w:t xml:space="preserve"> </w:t>
      </w:r>
      <w:r>
        <w:rPr>
          <w:rFonts w:ascii="Arial" w:cs="Arial" w:eastAsia="Arial" w:hAnsi="Arial"/>
          <w:sz w:val="16"/>
          <w:szCs w:val="16"/>
          <w:color w:val="auto"/>
        </w:rPr>
        <w:t>15% interest, respectively, in Cactus II, which owns the Cactus II pipeline system.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9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Consolidated Balance Sheet. Such amount is being recognized in revenue ratably over the life of the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and have retained a</w:t>
      </w:r>
      <w:r>
        <w:rPr>
          <w:rFonts w:ascii="Arial" w:cs="Arial" w:eastAsia="Arial" w:hAnsi="Arial"/>
          <w:sz w:val="18"/>
          <w:szCs w:val="18"/>
          <w:i w:val="1"/>
          <w:iCs w:val="1"/>
          <w:color w:val="auto"/>
        </w:rPr>
        <w:t xml:space="preserve"> </w:t>
      </w:r>
      <w:r>
        <w:rPr>
          <w:rFonts w:ascii="Arial" w:cs="Arial" w:eastAsia="Arial" w:hAnsi="Arial"/>
          <w:sz w:val="18"/>
          <w:szCs w:val="18"/>
          <w:color w:val="auto"/>
        </w:rPr>
        <w:t>30% ownership interest. We recorded a gain of approximately $21 million related to this sale, which is included in “Gain on/(impairment of) investments in unconsolidated entities, net” on our Condensed Consolidated Statement of Operations. We continue to account for our remaining interest under the equity method of accounting.</w:t>
      </w:r>
    </w:p>
    <w:p>
      <w:pPr>
        <w:spacing w:after="0" w:line="214"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i w:val="1"/>
          <w:iCs w:val="1"/>
          <w:color w:val="auto"/>
        </w:rPr>
        <w:t>BridgeTex</w:t>
      </w:r>
      <w:r>
        <w:rPr>
          <w:rFonts w:ascii="Arial" w:cs="Arial" w:eastAsia="Arial" w:hAnsi="Arial"/>
          <w:sz w:val="18"/>
          <w:szCs w:val="18"/>
          <w:color w:val="auto"/>
        </w:rPr>
        <w:t>. During the third quarter of 2018, we sold a 30% interest in BridgeTex for proceeds of $868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20% interest. We recorded a gain of $200 million related to this sale, which is included in “Gain on investment in unconsolidated entities” on our Consolidated Statement of Operations. We continue to account for our remaining interest under the equity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generally fund our portion of development, construction or capital investment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2020, 2019 and 2018, we made cash contributions of $445 million, $504 million and $459 million, respectively, to certain of our equity method investees. In addition, we capitalized interest of $16 million, $20 million and $9 million during the years ended December 31, 2020, 2019 and 2018, respectively, related to contributions to unconsolidated entities for projects under development and construction. We anticipate that we will make additional contributions in 2021 related to ongoing projects.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$170 million and $349 million at December 31, 2020 and 2019,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2020 and 2019 was attributable to goodwill related to our ownership interest in BridgeTex and Capline with the remaining basis difference primarily related to capitalized interest incurred during construction of the assets of our unconsolidated entities. The basis difference at December 31, 2020 was further impacted by impairments as discussed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60"/>
        </w:trPr>
        <w:tc>
          <w:tcPr>
            <w:tcW w:w="6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10—Other Long-Term Assets,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Estimated Useful</w:t>
            </w:r>
          </w:p>
        </w:tc>
        <w:tc>
          <w:tcPr>
            <w:tcW w:w="22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Customer contracts and relationships</w:t>
            </w:r>
          </w:p>
        </w:tc>
        <w:tc>
          <w:tcPr>
            <w:tcW w:w="15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3–29</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540" w:type="dxa"/>
            <w:vAlign w:val="bottom"/>
            <w:gridSpan w:val="3"/>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Property tax abatement</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agreements</w:t>
            </w:r>
          </w:p>
        </w:tc>
        <w:tc>
          <w:tcPr>
            <w:tcW w:w="15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820" w:type="dxa"/>
            <w:vAlign w:val="bottom"/>
          </w:tcPr>
          <w:p>
            <w:pPr>
              <w:ind w:left="140"/>
              <w:spacing w:after="0" w:line="223"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(2)</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820" w:type="dxa"/>
            <w:vAlign w:val="bottom"/>
          </w:tcPr>
          <w:p>
            <w:pPr>
              <w:ind w:left="140"/>
              <w:spacing w:after="0"/>
              <w:rPr>
                <w:sz w:val="20"/>
                <w:szCs w:val="20"/>
                <w:color w:val="auto"/>
              </w:rPr>
            </w:pPr>
            <w:r>
              <w:rPr>
                <w:rFonts w:ascii="Arial" w:cs="Arial" w:eastAsia="Arial" w:hAnsi="Arial"/>
                <w:sz w:val="18"/>
                <w:szCs w:val="18"/>
                <w:color w:val="auto"/>
              </w:rPr>
              <w:t>Other long-term assets, net</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8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640" w:hanging="11"/>
        <w:spacing w:after="0" w:line="277" w:lineRule="auto"/>
        <w:rPr>
          <w:sz w:val="20"/>
          <w:szCs w:val="20"/>
          <w:color w:val="auto"/>
        </w:rPr>
      </w:pPr>
      <w:r>
        <w:rPr>
          <w:rFonts w:ascii="Arial" w:cs="Arial" w:eastAsia="Arial" w:hAnsi="Arial"/>
          <w:sz w:val="18"/>
          <w:szCs w:val="18"/>
          <w:color w:val="auto"/>
        </w:rPr>
        <w:t>Amounts for the year ended December 31, 2020 include intangible assets associated with the acquisition of FM Gathering. See Note 7 for additional information.</w:t>
      </w:r>
    </w:p>
    <w:p>
      <w:pPr>
        <w:spacing w:after="0" w:line="62"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197" w:lineRule="exact"/>
        <w:rPr>
          <w:sz w:val="20"/>
          <w:szCs w:val="20"/>
          <w:color w:val="auto"/>
        </w:rPr>
      </w:pPr>
    </w:p>
    <w:p>
      <w:pPr>
        <w:sectPr>
          <w:pgSz w:w="11900" w:h="16838" w:orient="portrait"/>
          <w:cols w:equalWidth="0" w:num="2">
            <w:col w:w="140" w:space="520"/>
            <w:col w:w="10540"/>
          </w:cols>
          <w:pgMar w:left="320" w:top="125" w:right="379" w:bottom="1440" w:gutter="0" w:footer="0" w:header="0"/>
          <w:type w:val="continuous"/>
        </w:sectPr>
      </w:pPr>
    </w:p>
    <w:p>
      <w:pPr>
        <w:ind w:right="66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2020.</w:t>
      </w:r>
    </w:p>
    <w:p>
      <w:pPr>
        <w:spacing w:after="0" w:line="17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Amortization expense for finite-lived intangible assets for the years ended December 31, 2020, 2019 and 2018 was $90 million, $76 million and $66 million, respectively. We estimate that our amortization expense related to finite-lived intangible assets for the next five years will be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89"/>
              </w:rPr>
              <w:t>2021</w:t>
            </w:r>
          </w:p>
        </w:tc>
        <w:tc>
          <w:tcPr>
            <w:tcW w:w="52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880" w:type="dxa"/>
            <w:vAlign w:val="bottom"/>
          </w:tcPr>
          <w:p>
            <w:pPr>
              <w:jc w:val="right"/>
              <w:ind w:right="4410"/>
              <w:spacing w:after="0"/>
              <w:rPr>
                <w:sz w:val="20"/>
                <w:szCs w:val="20"/>
                <w:color w:val="auto"/>
              </w:rPr>
            </w:pPr>
            <w:r>
              <w:rPr>
                <w:rFonts w:ascii="Arial" w:cs="Arial" w:eastAsia="Arial" w:hAnsi="Arial"/>
                <w:sz w:val="18"/>
                <w:szCs w:val="18"/>
                <w:color w:val="auto"/>
                <w:w w:val="89"/>
              </w:rPr>
              <w:t>2022</w:t>
            </w:r>
          </w:p>
        </w:tc>
        <w:tc>
          <w:tcPr>
            <w:tcW w:w="52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488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89"/>
              </w:rPr>
              <w:t>2023</w:t>
            </w:r>
          </w:p>
        </w:tc>
        <w:tc>
          <w:tcPr>
            <w:tcW w:w="52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880" w:type="dxa"/>
            <w:vAlign w:val="bottom"/>
          </w:tcPr>
          <w:p>
            <w:pPr>
              <w:jc w:val="right"/>
              <w:ind w:right="4410"/>
              <w:spacing w:after="0"/>
              <w:rPr>
                <w:sz w:val="20"/>
                <w:szCs w:val="20"/>
                <w:color w:val="auto"/>
              </w:rPr>
            </w:pPr>
            <w:r>
              <w:rPr>
                <w:rFonts w:ascii="Arial" w:cs="Arial" w:eastAsia="Arial" w:hAnsi="Arial"/>
                <w:sz w:val="18"/>
                <w:szCs w:val="18"/>
                <w:color w:val="auto"/>
                <w:w w:val="89"/>
              </w:rPr>
              <w:t>2024</w:t>
            </w:r>
          </w:p>
        </w:tc>
        <w:tc>
          <w:tcPr>
            <w:tcW w:w="52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88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89"/>
              </w:rPr>
              <w:t>2025</w:t>
            </w:r>
          </w:p>
        </w:tc>
        <w:tc>
          <w:tcPr>
            <w:tcW w:w="52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line="230" w:lineRule="exact"/>
              <w:rPr>
                <w:sz w:val="20"/>
                <w:szCs w:val="20"/>
                <w:color w:val="auto"/>
              </w:rPr>
            </w:pPr>
            <w:r>
              <w:rPr>
                <w:rFonts w:ascii="Arial" w:cs="Arial" w:eastAsia="Arial" w:hAnsi="Arial"/>
                <w:sz w:val="18"/>
                <w:szCs w:val="18"/>
                <w:color w:val="auto"/>
                <w:w w:val="97"/>
              </w:rPr>
              <w:t xml:space="preserve">PAA commercial paper notes, bearing a weighted-average interest rate of 0.7% and 2.2%, respectively </w:t>
            </w:r>
            <w:r>
              <w:rPr>
                <w:rFonts w:ascii="Arial" w:cs="Arial" w:eastAsia="Arial" w:hAnsi="Arial"/>
                <w:sz w:val="23"/>
                <w:szCs w:val="23"/>
                <w:color w:val="auto"/>
                <w:w w:val="97"/>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PAA senior secured hedged inventory facility, bearing a weighted-average interest rate of 1.2% and 2.7%,</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short-term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PAA senior notes: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3.65% senior notes due June 2022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2.85% senior notes due January 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3.85% senior notes due October 2023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3.60% senior notes due November 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4.65% senior notes due October 2025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4.50% senior notes due December 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3.55% senior notes due December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3.80% senior notes due September 2030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6.70% senior notes due May 2036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6.65% senior notes due January 2037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5.15% senior notes due June 2042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4.30% senior notes due January 2043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4.70% senior notes due June 2044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4.90% senior notes due February 2045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discounts and 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PAA senior notes, net of unamortized discounts and debt issuance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PAA GO Zone term loans, net of debt issuance costs of $1 and $1, respectively, bearing a weighted-average</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rate of 1.3% and 2.6%, 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line="223"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40" w:hanging="11"/>
        <w:spacing w:after="0" w:line="263" w:lineRule="auto"/>
        <w:rPr>
          <w:sz w:val="20"/>
          <w:szCs w:val="20"/>
          <w:color w:val="auto"/>
        </w:rPr>
      </w:pPr>
      <w:r>
        <w:rPr>
          <w:rFonts w:ascii="Arial" w:cs="Arial" w:eastAsia="Arial" w:hAnsi="Arial"/>
          <w:sz w:val="18"/>
          <w:szCs w:val="18"/>
          <w:color w:val="auto"/>
        </w:rPr>
        <w:t>We classified these PAA commercial paper notes and credit facility borrowings as short-term as of December 31, 2020 and 2019, as these notes and borrowings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ind w:right="100" w:hanging="11"/>
        <w:spacing w:after="0" w:line="342" w:lineRule="auto"/>
        <w:rPr>
          <w:sz w:val="20"/>
          <w:szCs w:val="20"/>
          <w:color w:val="auto"/>
        </w:rPr>
      </w:pPr>
      <w:r>
        <w:rPr>
          <w:rFonts w:ascii="Arial" w:cs="Arial" w:eastAsia="Arial" w:hAnsi="Arial"/>
          <w:sz w:val="16"/>
          <w:szCs w:val="16"/>
          <w:color w:val="auto"/>
        </w:rPr>
        <w:t>During the year ended December 31, 2020, we repurchased $17 million of our outstanding senior notes on the open market and recognized a gain of $3 million on these transactions, which is included in “Other income/(expense), net” on our Consolidated Statement of Operations.</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660" w:right="20" w:hanging="652"/>
        <w:spacing w:after="0" w:line="259" w:lineRule="auto"/>
        <w:tabs>
          <w:tab w:leader="none" w:pos="648" w:val="left"/>
        </w:tabs>
        <w:numPr>
          <w:ilvl w:val="0"/>
          <w:numId w:val="84"/>
        </w:numPr>
        <w:rPr>
          <w:rFonts w:ascii="Arial" w:cs="Arial" w:eastAsia="Arial" w:hAnsi="Arial"/>
          <w:sz w:val="22"/>
          <w:szCs w:val="22"/>
          <w:color w:val="auto"/>
          <w:vertAlign w:val="superscript"/>
        </w:rPr>
      </w:pPr>
      <w:r>
        <w:rPr>
          <w:rFonts w:ascii="Arial" w:cs="Arial" w:eastAsia="Arial" w:hAnsi="Arial"/>
          <w:sz w:val="17"/>
          <w:szCs w:val="17"/>
          <w:color w:val="auto"/>
        </w:rPr>
        <w:t>PAA’s fixed-rate senior notes had a face value of approximately $9.1 billion and $9.0 billion as of December 31, 2020 and 2019, respectively. We estimated the aggregate fair value of these notes as of December 31, 2020 and 2019 to be approximately $9.9 billion and $9.3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the PAA senior notes, credit facilities, commercial paper program and GO Zone term loans are based upon observable market data and are classified in Level 2 of the fair value hierarchy.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PAA has a commercial paper program under which it may issue (and have outstanding at any time) up to $3.0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PAA senior secured hedged inventory facility</w:t>
      </w:r>
      <w:r>
        <w:rPr>
          <w:rFonts w:ascii="Arial" w:cs="Arial" w:eastAsia="Arial" w:hAnsi="Arial"/>
          <w:sz w:val="17"/>
          <w:szCs w:val="17"/>
          <w:color w:val="auto"/>
        </w:rPr>
        <w:t>. PAA has a credit agreement that provides for a senior secured hedged inventory facility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committed 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certain floating rate indices as defined in the credit agreement, in each case plus a margin based on PAA’s credit rating at the applicable time. The agreement also provides for one or more one-year extensions, subject to applicable approval. In August 2019, PAA amended this agreement to, among other things, extend the maturity date of the facility to August 2022 for each extending lender. The maturity date with respect to each non-extending lender (which represent aggregate commitments of approximately $45 million out of total commitments of $1.4 billion from all lenders) remains August 2021.</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PAA senior unsecured revolving credit facility. </w:t>
      </w:r>
      <w:r>
        <w:rPr>
          <w:rFonts w:ascii="Arial" w:cs="Arial" w:eastAsia="Arial" w:hAnsi="Arial"/>
          <w:sz w:val="17"/>
          <w:szCs w:val="17"/>
          <w:color w:val="auto"/>
        </w:rPr>
        <w:t>PAA has a credit agreement that provides for a senior unsecured revolving credit facility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committed borrowing capacity of $1.6 billion. Subject to obtaining additional or increased lender commitments, the committed capacity may be increased to $2.1 billion. The credit agreement also provides for the issuance of letters of credit. Borrowings accrue interest based, at PAA’s election, on certain floating rate indices as defined in the credit agreement, in each case plus a margin based on PAA’s credit rating at the applicable time. The agreement also provides for one or more one-year extensions, subject to applicable approval. In August 2019, PAA amended this agreement to, among other things, extend the maturity date of the facility to August 2024 for each extending lender.</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PAA GO Zone term loans</w:t>
      </w:r>
      <w:r>
        <w:rPr>
          <w:rFonts w:ascii="Arial" w:cs="Arial" w:eastAsia="Arial" w:hAnsi="Arial"/>
          <w:sz w:val="17"/>
          <w:szCs w:val="17"/>
          <w:color w:val="auto"/>
        </w:rPr>
        <w:t>. In August 2018, PAA entered into an agreement for two $100 million term loans (the “GO Zone term loans”)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remarketing of its $100 million Mississippi Business Finance Corporation Gulf Opportunity Zone Industrial Development Revenue Bonds (PAA Natural Gas Storage, L.P. Project), Series 2009 and its $100 million Mississippi Business Finance Corporation Gulf Opportunity Zone Industrial Development Revenue Bonds (PAA Natural Gas Storage, L.P. Project), Series 2010 (collectively, the “GO Bonds”). The GO Zone term loans accrue interest, based on certain floating rate indices,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PAA Senior Notes Issuances. </w:t>
      </w:r>
      <w:r>
        <w:rPr>
          <w:rFonts w:ascii="Arial" w:cs="Arial" w:eastAsia="Arial" w:hAnsi="Arial"/>
          <w:sz w:val="18"/>
          <w:szCs w:val="18"/>
          <w:color w:val="auto"/>
        </w:rPr>
        <w:t>The table below summarizes PAA’s issuances of senior unsecured notes during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5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Description</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Face Value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Payment Dates</w:t>
            </w:r>
          </w:p>
        </w:tc>
      </w:tr>
      <w:tr>
        <w:trPr>
          <w:trHeight w:val="229"/>
        </w:trPr>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3.80% Senior Notes issued at 99.794% of face value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29"/>
        </w:trPr>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3.55% Senior Notes issued at 99.801% of face value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15 and December 15</w:t>
            </w:r>
          </w:p>
        </w:tc>
      </w:tr>
    </w:tbl>
    <w:p>
      <w:pPr>
        <w:spacing w:after="0" w:line="337" w:lineRule="exact"/>
        <w:rPr>
          <w:sz w:val="20"/>
          <w:szCs w:val="20"/>
          <w:color w:val="auto"/>
        </w:rPr>
      </w:pPr>
    </w:p>
    <w:p>
      <w:pPr>
        <w:ind w:right="660" w:firstLine="648"/>
        <w:spacing w:after="0" w:line="269" w:lineRule="auto"/>
        <w:rPr>
          <w:sz w:val="20"/>
          <w:szCs w:val="20"/>
          <w:color w:val="auto"/>
        </w:rPr>
      </w:pPr>
      <w:r>
        <w:rPr>
          <w:rFonts w:ascii="Arial" w:cs="Arial" w:eastAsia="Arial" w:hAnsi="Arial"/>
          <w:sz w:val="18"/>
          <w:szCs w:val="18"/>
          <w:i w:val="1"/>
          <w:iCs w:val="1"/>
          <w:color w:val="auto"/>
        </w:rPr>
        <w:t xml:space="preserve">PAA Senior Notes Repayments. </w:t>
      </w:r>
      <w:r>
        <w:rPr>
          <w:rFonts w:ascii="Arial" w:cs="Arial" w:eastAsia="Arial" w:hAnsi="Arial"/>
          <w:sz w:val="18"/>
          <w:szCs w:val="18"/>
          <w:color w:val="auto"/>
        </w:rPr>
        <w:t>During the three years ended December 31, 2020, PAA repaid the following senior unsecured notes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(in millions):</w:t>
      </w:r>
    </w:p>
    <w:tbl>
      <w:tblPr>
        <w:tblLayout w:type="fixed"/>
        <w:tblInd w:w="0" w:type="dxa"/>
        <w:tblCellMar>
          <w:top w:w="0" w:type="dxa"/>
          <w:left w:w="0" w:type="dxa"/>
          <w:bottom w:w="0" w:type="dxa"/>
          <w:right w:w="0" w:type="dxa"/>
        </w:tblCellMar>
      </w:tblPr>
      <w:tr>
        <w:trPr>
          <w:trHeight w:val="192"/>
        </w:trPr>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5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Description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680" w:type="dxa"/>
            <w:vAlign w:val="bottom"/>
          </w:tcPr>
          <w:p>
            <w:pPr>
              <w:spacing w:after="0"/>
              <w:rPr>
                <w:sz w:val="16"/>
                <w:szCs w:val="16"/>
                <w:color w:val="auto"/>
              </w:rPr>
            </w:pPr>
          </w:p>
        </w:tc>
      </w:tr>
      <w:tr>
        <w:trPr>
          <w:trHeight w:val="229"/>
        </w:trPr>
        <w:tc>
          <w:tcPr>
            <w:tcW w:w="22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5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$600 million 5.00% Senior Notes due February 2021</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2020</w:t>
            </w:r>
          </w:p>
        </w:tc>
        <w:tc>
          <w:tcPr>
            <w:tcW w:w="680" w:type="dxa"/>
            <w:vAlign w:val="bottom"/>
            <w:tcBorders>
              <w:top w:val="single" w:sz="8" w:color="CCEEFF"/>
            </w:tcBorders>
            <w:shd w:val="clear" w:color="auto" w:fill="CCEEFF"/>
          </w:tcPr>
          <w:p>
            <w:pPr>
              <w:jc w:val="right"/>
              <w:ind w:right="362"/>
              <w:spacing w:after="0"/>
              <w:rPr>
                <w:sz w:val="20"/>
                <w:szCs w:val="20"/>
                <w:color w:val="auto"/>
              </w:rPr>
            </w:pPr>
            <w:r>
              <w:rPr>
                <w:rFonts w:ascii="Arial" w:cs="Arial" w:eastAsia="Arial" w:hAnsi="Arial"/>
                <w:sz w:val="12"/>
                <w:szCs w:val="12"/>
                <w:color w:val="auto"/>
              </w:rPr>
              <w:t>(1)</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69"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2019</w:t>
            </w:r>
          </w:p>
        </w:tc>
        <w:tc>
          <w:tcPr>
            <w:tcW w:w="5640" w:type="dxa"/>
            <w:vAlign w:val="bottom"/>
          </w:tcPr>
          <w:p>
            <w:pPr>
              <w:jc w:val="center"/>
              <w:ind w:left="110"/>
              <w:spacing w:after="0"/>
              <w:rPr>
                <w:sz w:val="20"/>
                <w:szCs w:val="20"/>
                <w:color w:val="auto"/>
              </w:rPr>
            </w:pPr>
            <w:r>
              <w:rPr>
                <w:rFonts w:ascii="Arial" w:cs="Arial" w:eastAsia="Arial" w:hAnsi="Arial"/>
                <w:sz w:val="18"/>
                <w:szCs w:val="18"/>
                <w:color w:val="auto"/>
                <w:w w:val="91"/>
              </w:rPr>
              <w:t>$500 million 2.60% Senior Notes due December 2019</w:t>
            </w:r>
          </w:p>
        </w:tc>
        <w:tc>
          <w:tcPr>
            <w:tcW w:w="1940" w:type="dxa"/>
            <w:vAlign w:val="bottom"/>
          </w:tcPr>
          <w:p>
            <w:pPr>
              <w:ind w:left="780"/>
              <w:spacing w:after="0"/>
              <w:rPr>
                <w:sz w:val="20"/>
                <w:szCs w:val="20"/>
                <w:color w:val="auto"/>
              </w:rPr>
            </w:pPr>
            <w:r>
              <w:rPr>
                <w:rFonts w:ascii="Arial" w:cs="Arial" w:eastAsia="Arial" w:hAnsi="Arial"/>
                <w:sz w:val="18"/>
                <w:szCs w:val="18"/>
                <w:color w:val="auto"/>
                <w:w w:val="88"/>
              </w:rPr>
              <w:t>November 2019</w:t>
            </w:r>
          </w:p>
        </w:tc>
      </w:tr>
      <w:tr>
        <w:trPr>
          <w:trHeight w:val="230"/>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84"/>
              </w:rPr>
              <w:t>2019</w:t>
            </w:r>
          </w:p>
        </w:tc>
        <w:tc>
          <w:tcPr>
            <w:tcW w:w="5640" w:type="dxa"/>
            <w:vAlign w:val="bottom"/>
          </w:tcPr>
          <w:p>
            <w:pPr>
              <w:jc w:val="center"/>
              <w:ind w:left="110"/>
              <w:spacing w:after="0"/>
              <w:rPr>
                <w:sz w:val="20"/>
                <w:szCs w:val="20"/>
                <w:color w:val="auto"/>
              </w:rPr>
            </w:pPr>
            <w:r>
              <w:rPr>
                <w:rFonts w:ascii="Arial" w:cs="Arial" w:eastAsia="Arial" w:hAnsi="Arial"/>
                <w:sz w:val="18"/>
                <w:szCs w:val="18"/>
                <w:color w:val="auto"/>
                <w:w w:val="90"/>
              </w:rPr>
              <w:t>$500 million 5.75% Senior Notes due January 2020</w:t>
            </w:r>
          </w:p>
        </w:tc>
        <w:tc>
          <w:tcPr>
            <w:tcW w:w="1940" w:type="dxa"/>
            <w:vAlign w:val="bottom"/>
          </w:tcPr>
          <w:p>
            <w:pPr>
              <w:ind w:left="780"/>
              <w:spacing w:after="0"/>
              <w:rPr>
                <w:sz w:val="20"/>
                <w:szCs w:val="20"/>
                <w:color w:val="auto"/>
              </w:rPr>
            </w:pPr>
            <w:r>
              <w:rPr>
                <w:rFonts w:ascii="Arial" w:cs="Arial" w:eastAsia="Arial" w:hAnsi="Arial"/>
                <w:sz w:val="18"/>
                <w:szCs w:val="18"/>
                <w:color w:val="auto"/>
                <w:w w:val="88"/>
              </w:rPr>
              <w:t>December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037705"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5">
                      <a:extLst>
                        <a:ext uri="{28A0092B-C50C-407E-A947-70E740481C1C}"/>
                      </a:extLst>
                    </a:blip>
                    <a:srcRect/>
                    <a:stretch>
                      <a:fillRect/>
                    </a:stretch>
                  </pic:blipFill>
                  <pic:spPr bwMode="auto">
                    <a:xfrm>
                      <a:off x="0" y="0"/>
                      <a:ext cx="703770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95" w:lineRule="exact"/>
        <w:rPr>
          <w:sz w:val="20"/>
          <w:szCs w:val="20"/>
          <w:color w:val="auto"/>
        </w:rPr>
      </w:pPr>
    </w:p>
    <w:p>
      <w:pPr>
        <w:sectPr>
          <w:pgSz w:w="11900" w:h="16838" w:orient="portrait"/>
          <w:cols w:equalWidth="0" w:num="2">
            <w:col w:w="9860" w:space="680"/>
            <w:col w:w="700"/>
          </w:cols>
          <w:pgMar w:left="320" w:top="125" w:right="339"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These senior notes were repaid with proceeds from PAA’s 3.80% senior notes issued in June 2020 and cash on hand.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These senior notes were repaid with proceeds from PAA’s 3.55% senior notes issued in September 2019 and cash on hand.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weighted average maturity of our senior notes and GO Zone term loans outstanding at December 31, 2020 was approximately 10 years. The following table presents the aggregate contractually scheduled maturities of such senior notes and GO Zone term loans for the next five years and thereafter. The amounts presented exclude unamortized discounts and debt issuance costs.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Calendar Year</w:t>
            </w:r>
          </w:p>
        </w:tc>
        <w:tc>
          <w:tcPr>
            <w:tcW w:w="22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88"/>
        </w:trPr>
        <w:tc>
          <w:tcPr>
            <w:tcW w:w="9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7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credit agreements for PAA’s revolving credit facilities (which impact the ability to access the PAA commercial paper program because they provide the financial backstop that supports PAA’s short-term credit ratings) and PAA’s term loans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49"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incur indebtedness, including finance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credit agreements for the PAA senior unsecured revolving credit facility, the PAA senior secured hedged inventory facility and the PAA GO Zone term loans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2020, PAA was in compliance with the covenants contained in its credit agreements and indentures.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Total borrowings under PAA’s credit facilities and commercial paper program for the years ended December 31, 2020, 2019 and 2018 were approximately $29.3 billion, $13.3 billion and $45.4 billion, respectively. Total repayments under PAA’s credit facilities and commercial paper program were approximately $29.0 billion, $12.9 billion and $46.3 billion for the years ended December 31, 2020,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PAA’s senior unsecured revolving credit facility and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2020 and 2019, we had outstanding letters of credit of $129 million and $157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w:t>
      </w:r>
    </w:p>
    <w:p>
      <w:pPr>
        <w:spacing w:after="0" w:line="25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Redemption Rights</w:t>
      </w:r>
    </w:p>
    <w:p>
      <w:pPr>
        <w:spacing w:after="0" w:line="252" w:lineRule="exact"/>
        <w:rPr>
          <w:sz w:val="20"/>
          <w:szCs w:val="20"/>
          <w:color w:val="auto"/>
        </w:rPr>
      </w:pPr>
    </w:p>
    <w:p>
      <w:pPr>
        <w:jc w:val="both"/>
        <w:ind w:right="240" w:firstLine="648"/>
        <w:spacing w:after="0" w:line="287" w:lineRule="auto"/>
        <w:rPr>
          <w:sz w:val="20"/>
          <w:szCs w:val="20"/>
          <w:color w:val="auto"/>
        </w:rPr>
      </w:pPr>
      <w:r>
        <w:rPr>
          <w:rFonts w:ascii="Arial" w:cs="Arial" w:eastAsia="Arial" w:hAnsi="Arial"/>
          <w:sz w:val="16"/>
          <w:szCs w:val="16"/>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our Class B shares and general partner units are transferred by the exercising party to us.</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15 for information regarding the recognition of deferred tax assets associated the transfer of ownership resulting from Exchange Right exercises.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Additionally, subject to certain limitations, a holder of AAP units (other than us and GP LLC)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 Additionally, we will issue a corresponding number of Class C shares to PAA.</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 Shares</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 Shares</w:t>
            </w:r>
          </w:p>
        </w:tc>
        <w:tc>
          <w:tcPr>
            <w:tcW w:w="1340" w:type="dxa"/>
            <w:vAlign w:val="bottom"/>
          </w:tcPr>
          <w:p>
            <w:pPr>
              <w:jc w:val="right"/>
              <w:ind w:right="131"/>
              <w:spacing w:after="0"/>
              <w:rPr>
                <w:sz w:val="20"/>
                <w:szCs w:val="20"/>
                <w:color w:val="auto"/>
              </w:rPr>
            </w:pPr>
            <w:r>
              <w:rPr>
                <w:rFonts w:ascii="Arial" w:cs="Arial" w:eastAsia="Arial" w:hAnsi="Arial"/>
                <w:sz w:val="14"/>
                <w:szCs w:val="14"/>
                <w:b w:val="1"/>
                <w:bCs w:val="1"/>
                <w:color w:val="auto"/>
              </w:rPr>
              <w:t>Class C Shares</w:t>
            </w:r>
          </w:p>
        </w:tc>
      </w:tr>
      <w:tr>
        <w:trPr>
          <w:trHeight w:val="254"/>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126,984,572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510,925,432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3,363,199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(3,363,199)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Redemption Right exercises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(4,017,035)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4,017,035</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Series A preferred units by a subsidiary</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1,393,926</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Other</w:t>
            </w:r>
          </w:p>
        </w:tc>
        <w:tc>
          <w:tcPr>
            <w:tcW w:w="1320" w:type="dxa"/>
            <w:vAlign w:val="bottom"/>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601,887</w:t>
            </w: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159,485,588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119,604,338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516,938,280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22,637,818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(22,637,818)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(31,180,818)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31,180,818</w:t>
            </w: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1,419,041</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182,138,592</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65,785,702</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549,538,139</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Conversion of AAP Management Units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595,117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Right exercises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11,858,457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(11,858,457)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Redemption Right exercises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(3,882,170)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3,882,170</w:t>
            </w: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units by a subsidiary</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(6,222,748)</w:t>
            </w: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520,201</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Includes exercises by Oxy and an affiliate of The Energy &amp; Minerals Group (“EMG”). See Note 17 for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to our Class A shareholders during the periods indicated (in millions, except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3160" w:type="dxa"/>
            <w:vAlign w:val="bottom"/>
          </w:tcPr>
          <w:p>
            <w:pPr>
              <w:jc w:val="right"/>
              <w:ind w:right="95"/>
              <w:spacing w:after="0"/>
              <w:rPr>
                <w:sz w:val="20"/>
                <w:szCs w:val="20"/>
                <w:color w:val="auto"/>
              </w:rPr>
            </w:pPr>
            <w:r>
              <w:rPr>
                <w:rFonts w:ascii="Arial" w:cs="Arial" w:eastAsia="Arial" w:hAnsi="Arial"/>
                <w:sz w:val="14"/>
                <w:szCs w:val="14"/>
                <w:b w:val="1"/>
                <w:bCs w:val="1"/>
                <w:color w:val="auto"/>
              </w:rPr>
              <w:t>Distributions to Class A Shareholders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80" w:type="dxa"/>
            <w:vAlign w:val="bottom"/>
          </w:tcPr>
          <w:p>
            <w:pPr>
              <w:jc w:val="right"/>
              <w:ind w:right="795"/>
              <w:spacing w:after="0"/>
              <w:rPr>
                <w:sz w:val="20"/>
                <w:szCs w:val="20"/>
                <w:color w:val="auto"/>
              </w:rPr>
            </w:pPr>
            <w:r>
              <w:rPr>
                <w:rFonts w:ascii="Arial" w:cs="Arial" w:eastAsia="Arial" w:hAnsi="Arial"/>
                <w:sz w:val="14"/>
                <w:szCs w:val="14"/>
                <w:b w:val="1"/>
                <w:bCs w:val="1"/>
                <w:color w:val="auto"/>
              </w:rPr>
              <w:t>Distributions per Class A Share</w:t>
            </w: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jc w:val="right"/>
              <w:ind w:right="297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160" w:type="dxa"/>
            <w:vAlign w:val="bottom"/>
          </w:tcPr>
          <w:p>
            <w:pPr>
              <w:jc w:val="right"/>
              <w:ind w:right="297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jc w:val="right"/>
              <w:ind w:right="29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bl>
    <w:p>
      <w:pPr>
        <w:spacing w:after="0" w:line="33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On January 7, 2021, we declared a cash distribution of $0.18 per outstanding Class A share. This distribution of $35 million was paid on February 12, 2021 to shareholders of record at the close of business on January 29, 2021, for the period October 1, 2020 through December 31, 2020.</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Income/(Loss)</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5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As of December 31, 2020,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Pipeline Company LLC (“Red River LLC”), as discussed further below.</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May 2019, we formed a joint venture, Red River LLC, with Delek Logistics Partners, LP (“Delek”) on our Red River pipeline system. We received approximately $128 million for Delek’s 33% interest in Red River LLC. We consolidate Red River LLC, with Delek’s 33% interest accounted for as a noncontrolling interest.</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Additionally, during the year ended December 31, 2020, we received $12 million of contributions from noncontrolling interests in Red River LLC related to the Red River pipeline capacity expansion.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Repurchases of Units by Subsidiary</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Common Equity Repurchase Program. </w:t>
      </w:r>
      <w:r>
        <w:rPr>
          <w:rFonts w:ascii="Arial" w:cs="Arial" w:eastAsia="Arial" w:hAnsi="Arial"/>
          <w:sz w:val="18"/>
          <w:szCs w:val="18"/>
          <w:color w:val="auto"/>
        </w:rPr>
        <w:t>In November 2020, the board of directors of our general partner approved a $500 million common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PAA repurchased 6,222,748 common units under the Program through open market purchases during the year ended December 31, 2020. The total purchase price of these repurchases was $50 million, including commissions and fees. The repurchased common units were canceled immediately upon acquisition, as were the Class C shares held by PAA associated with the repurchased common units. We did not repurchase any Class A shares under the Program during the year ended December 31, 2020. At December 31, 2020, the remaining available capacity under the program was $450 million.</w:t>
      </w:r>
    </w:p>
    <w:p>
      <w:pPr>
        <w:spacing w:after="0" w:line="184" w:lineRule="exact"/>
        <w:rPr>
          <w:sz w:val="20"/>
          <w:szCs w:val="20"/>
          <w:color w:val="auto"/>
        </w:rPr>
      </w:pPr>
    </w:p>
    <w:p>
      <w:pPr>
        <w:ind w:right="80" w:firstLine="729"/>
        <w:spacing w:after="0" w:line="311" w:lineRule="auto"/>
        <w:rPr>
          <w:sz w:val="20"/>
          <w:szCs w:val="20"/>
          <w:color w:val="auto"/>
        </w:rPr>
      </w:pPr>
      <w:r>
        <w:rPr>
          <w:rFonts w:ascii="Arial" w:cs="Arial" w:eastAsia="Arial" w:hAnsi="Arial"/>
          <w:sz w:val="16"/>
          <w:szCs w:val="16"/>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15 for additional information regarding the associated impact to the deferred tax asset.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56" w:lineRule="exact"/>
        <w:rPr>
          <w:sz w:val="20"/>
          <w:szCs w:val="20"/>
          <w:color w:val="auto"/>
        </w:rPr>
      </w:pPr>
    </w:p>
    <w:p>
      <w:pPr>
        <w:ind w:right="480" w:firstLine="648"/>
        <w:spacing w:after="0" w:line="269" w:lineRule="auto"/>
        <w:rPr>
          <w:sz w:val="20"/>
          <w:szCs w:val="20"/>
          <w:color w:val="auto"/>
        </w:rPr>
      </w:pPr>
      <w:r>
        <w:rPr>
          <w:rFonts w:ascii="Arial" w:cs="Arial" w:eastAsia="Arial" w:hAnsi="Arial"/>
          <w:sz w:val="18"/>
          <w:szCs w:val="18"/>
          <w:i w:val="1"/>
          <w:iCs w:val="1"/>
          <w:color w:val="auto"/>
        </w:rPr>
        <w:t xml:space="preserve">PAA Preferred Unit Distributions. </w:t>
      </w:r>
      <w:r>
        <w:rPr>
          <w:rFonts w:ascii="Arial" w:cs="Arial" w:eastAsia="Arial" w:hAnsi="Arial"/>
          <w:sz w:val="18"/>
          <w:szCs w:val="18"/>
          <w:color w:val="auto"/>
        </w:rPr>
        <w:t>The following table details distributions paid to PAA’s preferred unitholders during the year presented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except unit data):</w:t>
      </w: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Series A Preferred Unitholders</w:t>
            </w:r>
          </w:p>
        </w:tc>
        <w:tc>
          <w:tcPr>
            <w:tcW w:w="2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Series B Preferred Unitholders</w:t>
            </w:r>
          </w:p>
        </w:tc>
      </w:tr>
      <w:tr>
        <w:trPr>
          <w:trHeight w:val="202"/>
        </w:trPr>
        <w:tc>
          <w:tcPr>
            <w:tcW w:w="57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768"/>
              <w:spacing w:after="0" w:line="202" w:lineRule="exact"/>
              <w:rPr>
                <w:sz w:val="20"/>
                <w:szCs w:val="20"/>
                <w:color w:val="auto"/>
              </w:rPr>
            </w:pPr>
            <w:r>
              <w:rPr>
                <w:rFonts w:ascii="Arial" w:cs="Arial" w:eastAsia="Arial" w:hAnsi="Arial"/>
                <w:sz w:val="14"/>
                <w:szCs w:val="14"/>
                <w:b w:val="1"/>
                <w:bCs w:val="1"/>
                <w:color w:val="auto"/>
                <w:w w:val="92"/>
              </w:rPr>
              <w:t xml:space="preserve">Distribution </w:t>
            </w:r>
            <w:r>
              <w:rPr>
                <w:rFonts w:ascii="Arial" w:cs="Arial" w:eastAsia="Arial" w:hAnsi="Arial"/>
                <w:sz w:val="18"/>
                <w:szCs w:val="18"/>
                <w:b w:val="1"/>
                <w:bCs w:val="1"/>
                <w:color w:val="auto"/>
                <w:w w:val="92"/>
                <w:vertAlign w:val="superscript"/>
              </w:rPr>
              <w:t>(1)</w:t>
            </w:r>
          </w:p>
        </w:tc>
        <w:tc>
          <w:tcPr>
            <w:tcW w:w="2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93"/>
        </w:trPr>
        <w:tc>
          <w:tcPr>
            <w:tcW w:w="57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820" w:type="dxa"/>
            <w:vAlign w:val="bottom"/>
          </w:tcPr>
          <w:p>
            <w:pPr>
              <w:ind w:left="480"/>
              <w:spacing w:after="0"/>
              <w:rPr>
                <w:sz w:val="20"/>
                <w:szCs w:val="20"/>
                <w:color w:val="auto"/>
              </w:rPr>
            </w:pPr>
            <w:r>
              <w:rPr>
                <w:rFonts w:ascii="Arial" w:cs="Arial" w:eastAsia="Arial" w:hAnsi="Arial"/>
                <w:sz w:val="14"/>
                <w:szCs w:val="14"/>
                <w:b w:val="1"/>
                <w:bCs w:val="1"/>
                <w:color w:val="auto"/>
                <w:w w:val="93"/>
              </w:rPr>
              <w:t>Cash</w:t>
            </w:r>
          </w:p>
        </w:tc>
        <w:tc>
          <w:tcPr>
            <w:tcW w:w="1820" w:type="dxa"/>
            <w:vAlign w:val="bottom"/>
          </w:tcPr>
          <w:p>
            <w:pPr>
              <w:ind w:left="10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6"/>
              </w:rPr>
              <w:t>Distribution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98030" cy="4457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3">
                      <a:extLst>
                        <a:ext uri="{28A0092B-C50C-407E-A947-70E740481C1C}"/>
                      </a:extLst>
                    </a:blip>
                    <a:srcRect/>
                    <a:stretch>
                      <a:fillRect/>
                    </a:stretch>
                  </pic:blipFill>
                  <pic:spPr bwMode="auto">
                    <a:xfrm>
                      <a:off x="0" y="0"/>
                      <a:ext cx="7098030" cy="44577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tbl>
      <w:tblPr>
        <w:tblLayout w:type="fixed"/>
        <w:tblInd w:w="0" w:type="dxa"/>
        <w:tblCellMar>
          <w:top w:w="0" w:type="dxa"/>
          <w:left w:w="0" w:type="dxa"/>
          <w:bottom w:w="0" w:type="dxa"/>
          <w:right w:w="0" w:type="dxa"/>
        </w:tblCellMar>
      </w:tblPr>
      <w:tr>
        <w:trPr>
          <w:trHeight w:val="225"/>
        </w:trPr>
        <w:tc>
          <w:tcPr>
            <w:tcW w:w="5620" w:type="dxa"/>
            <w:vAlign w:val="bottom"/>
            <w:tcBorders>
              <w:top w:val="single" w:sz="8" w:color="auto"/>
            </w:tcBorders>
          </w:tcPr>
          <w:p>
            <w:pPr>
              <w:jc w:val="right"/>
              <w:ind w:right="51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jc w:val="right"/>
              <w:ind w:right="5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jc w:val="right"/>
              <w:ind w:right="5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1,393,926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ectPr>
          <w:pgSz w:w="11900" w:h="16838" w:orient="portrait"/>
          <w:cols w:equalWidth="0" w:num="2">
            <w:col w:w="8360" w:space="200"/>
            <w:col w:w="264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340" w:hanging="652"/>
        <w:spacing w:after="0" w:line="249" w:lineRule="auto"/>
        <w:tabs>
          <w:tab w:leader="none" w:pos="648"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PAA elected to pay distributions on its Series A preferred units in additional Series A preferred units for each quarterly distribution from their issuance through the February 2018 distribution. Distributions on PAA’s Series A preferred units have been paid in cash since the May 2018 distribution. During 2018, PAA issued additional Series A preferred units in lieu of cash distributions of $37 million.</w:t>
      </w:r>
    </w:p>
    <w:p>
      <w:pPr>
        <w:spacing w:after="0" w:line="33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On February 12, 2021, PAA paid a cash distribution of $37 million to its Series A preferred unitholders. At December 31, 2020, such amount was accrued as distributions payable in “Other current liabilities” on our Consolidated Balance Sheet. At December 31, 2020, approximately $6 million of accrued distributions payable to PAA’s Series B preferred unitholders was included in “Other current liabilities” on our Consolidated Balance Sheet.</w:t>
      </w:r>
    </w:p>
    <w:p>
      <w:pPr>
        <w:spacing w:after="0" w:line="1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PAA distributes 100% of its available cash within 45 days following the end of each quarter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record, including AAP. Available cash is generally defined as all of PAA’s cash and cash equivalents on hand at the end of each quarter, less reserves established in the reasonable discretion of its general partner for future requirements.</w:t>
      </w:r>
    </w:p>
    <w:p>
      <w:pPr>
        <w:sectPr>
          <w:pgSz w:w="11900" w:h="16838" w:orient="portrait"/>
          <w:cols w:equalWidth="0" w:num="1">
            <w:col w:w="11200"/>
          </w:cols>
          <w:pgMar w:left="320" w:top="125" w:right="379" w:bottom="1440" w:gutter="0" w:footer="0" w:header="0"/>
          <w:type w:val="continuous"/>
        </w:sect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The following table details distributions paid by PAA during the year presented (in millions, except per unit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 Paid</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96"/>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380" w:type="dxa"/>
            <w:vAlign w:val="bottom"/>
          </w:tcPr>
          <w:p>
            <w:pPr>
              <w:jc w:val="right"/>
              <w:ind w:right="135"/>
              <w:spacing w:after="0"/>
              <w:rPr>
                <w:sz w:val="20"/>
                <w:szCs w:val="20"/>
                <w:color w:val="auto"/>
              </w:rPr>
            </w:pPr>
            <w:r>
              <w:rPr>
                <w:rFonts w:ascii="Arial" w:cs="Arial" w:eastAsia="Arial" w:hAnsi="Arial"/>
                <w:sz w:val="14"/>
                <w:szCs w:val="14"/>
                <w:b w:val="1"/>
                <w:bCs w:val="1"/>
                <w:color w:val="auto"/>
              </w:rPr>
              <w:t>Public</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5"/>
              <w:spacing w:after="0"/>
              <w:rPr>
                <w:sz w:val="20"/>
                <w:szCs w:val="20"/>
                <w:color w:val="auto"/>
              </w:rPr>
            </w:pPr>
            <w:r>
              <w:rPr>
                <w:rFonts w:ascii="Arial" w:cs="Arial" w:eastAsia="Arial" w:hAnsi="Arial"/>
                <w:sz w:val="14"/>
                <w:szCs w:val="14"/>
                <w:b w:val="1"/>
                <w:bCs w:val="1"/>
                <w:color w:val="auto"/>
              </w:rPr>
              <w:t>Total</w:t>
            </w:r>
          </w:p>
        </w:tc>
      </w:tr>
      <w:tr>
        <w:trPr>
          <w:trHeight w:val="228"/>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119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ind w:right="1057"/>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223</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380" w:type="dxa"/>
            <w:vAlign w:val="bottom"/>
          </w:tcPr>
          <w:p>
            <w:pPr>
              <w:jc w:val="right"/>
              <w:ind w:right="119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260" w:type="dxa"/>
            <w:vAlign w:val="bottom"/>
          </w:tcPr>
          <w:p>
            <w:pPr>
              <w:jc w:val="right"/>
              <w:ind w:right="105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380" w:type="dxa"/>
            <w:vAlign w:val="bottom"/>
          </w:tcPr>
          <w:p>
            <w:pPr>
              <w:jc w:val="right"/>
              <w:ind w:right="119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260" w:type="dxa"/>
            <w:vAlign w:val="bottom"/>
          </w:tcPr>
          <w:p>
            <w:pPr>
              <w:jc w:val="right"/>
              <w:ind w:right="105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339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098030" cy="4457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5">
                      <a:extLst>
                        <a:ext uri="{28A0092B-C50C-407E-A947-70E740481C1C}"/>
                      </a:extLst>
                    </a:blip>
                    <a:srcRect/>
                    <a:stretch>
                      <a:fillRect/>
                    </a:stretch>
                  </pic:blipFill>
                  <pic:spPr bwMode="auto">
                    <a:xfrm>
                      <a:off x="0" y="0"/>
                      <a:ext cx="709803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17"/>
        <w:spacing w:after="0"/>
        <w:rPr>
          <w:sz w:val="20"/>
          <w:szCs w:val="20"/>
          <w:color w:val="auto"/>
        </w:rPr>
      </w:pPr>
      <w:r>
        <w:rPr>
          <w:rFonts w:ascii="Arial" w:cs="Arial" w:eastAsia="Arial" w:hAnsi="Arial"/>
          <w:sz w:val="14"/>
          <w:szCs w:val="14"/>
          <w:b w:val="1"/>
          <w:bCs w:val="1"/>
          <w:color w:val="auto"/>
        </w:rPr>
        <w:t>Distributions per</w:t>
      </w:r>
    </w:p>
    <w:p>
      <w:pPr>
        <w:jc w:val="center"/>
        <w:ind w:right="17"/>
        <w:spacing w:after="0"/>
        <w:rPr>
          <w:sz w:val="20"/>
          <w:szCs w:val="20"/>
          <w:color w:val="auto"/>
        </w:rPr>
      </w:pPr>
      <w:r>
        <w:rPr>
          <w:rFonts w:ascii="Arial" w:cs="Arial" w:eastAsia="Arial" w:hAnsi="Arial"/>
          <w:sz w:val="14"/>
          <w:szCs w:val="14"/>
          <w:b w:val="1"/>
          <w:bCs w:val="1"/>
          <w:color w:val="auto"/>
        </w:rPr>
        <w:t>common unit</w:t>
      </w:r>
    </w:p>
    <w:p>
      <w:pPr>
        <w:spacing w:after="0" w:line="34" w:lineRule="exact"/>
        <w:rPr>
          <w:sz w:val="20"/>
          <w:szCs w:val="20"/>
          <w:color w:val="auto"/>
        </w:rPr>
      </w:pPr>
    </w:p>
    <w:p>
      <w:pPr>
        <w:ind w:left="1243" w:hanging="1243"/>
        <w:spacing w:after="0"/>
        <w:tabs>
          <w:tab w:leader="none" w:pos="1243" w:val="left"/>
        </w:tabs>
        <w:numPr>
          <w:ilvl w:val="0"/>
          <w:numId w:val="88"/>
        </w:numPr>
        <w:rPr>
          <w:rFonts w:ascii="Arial" w:cs="Arial" w:eastAsia="Arial" w:hAnsi="Arial"/>
          <w:sz w:val="16"/>
          <w:szCs w:val="16"/>
          <w:color w:val="auto"/>
        </w:rPr>
      </w:pPr>
      <w:r>
        <w:rPr>
          <w:rFonts w:ascii="Arial" w:cs="Arial" w:eastAsia="Arial" w:hAnsi="Arial"/>
          <w:sz w:val="16"/>
          <w:szCs w:val="16"/>
          <w:color w:val="auto"/>
        </w:rPr>
        <w:t>0.90</w:t>
      </w:r>
    </w:p>
    <w:p>
      <w:pPr>
        <w:spacing w:after="0" w:line="46" w:lineRule="exact"/>
        <w:rPr>
          <w:sz w:val="20"/>
          <w:szCs w:val="20"/>
          <w:color w:val="auto"/>
        </w:rPr>
      </w:pPr>
    </w:p>
    <w:p>
      <w:pPr>
        <w:ind w:left="1243" w:hanging="1243"/>
        <w:spacing w:after="0"/>
        <w:tabs>
          <w:tab w:leader="none" w:pos="1243" w:val="left"/>
        </w:tabs>
        <w:numPr>
          <w:ilvl w:val="0"/>
          <w:numId w:val="89"/>
        </w:numPr>
        <w:rPr>
          <w:rFonts w:ascii="Arial" w:cs="Arial" w:eastAsia="Arial" w:hAnsi="Arial"/>
          <w:sz w:val="16"/>
          <w:szCs w:val="16"/>
          <w:color w:val="auto"/>
        </w:rPr>
      </w:pPr>
      <w:r>
        <w:rPr>
          <w:rFonts w:ascii="Arial" w:cs="Arial" w:eastAsia="Arial" w:hAnsi="Arial"/>
          <w:sz w:val="16"/>
          <w:szCs w:val="16"/>
          <w:color w:val="auto"/>
        </w:rPr>
        <w:t>1.38</w:t>
      </w:r>
    </w:p>
    <w:p>
      <w:pPr>
        <w:spacing w:after="0" w:line="45" w:lineRule="exact"/>
        <w:rPr>
          <w:rFonts w:ascii="Arial" w:cs="Arial" w:eastAsia="Arial" w:hAnsi="Arial"/>
          <w:sz w:val="16"/>
          <w:szCs w:val="16"/>
          <w:color w:val="auto"/>
        </w:rPr>
      </w:pPr>
    </w:p>
    <w:p>
      <w:pPr>
        <w:ind w:left="1243" w:hanging="1243"/>
        <w:spacing w:after="0"/>
        <w:tabs>
          <w:tab w:leader="none" w:pos="1243" w:val="left"/>
        </w:tabs>
        <w:numPr>
          <w:ilvl w:val="0"/>
          <w:numId w:val="89"/>
        </w:numPr>
        <w:rPr>
          <w:rFonts w:ascii="Arial" w:cs="Arial" w:eastAsia="Arial" w:hAnsi="Arial"/>
          <w:sz w:val="16"/>
          <w:szCs w:val="16"/>
          <w:color w:val="auto"/>
        </w:rPr>
      </w:pPr>
      <w:r>
        <w:rPr>
          <w:rFonts w:ascii="Arial" w:cs="Arial" w:eastAsia="Arial" w:hAnsi="Arial"/>
          <w:sz w:val="16"/>
          <w:szCs w:val="16"/>
          <w:color w:val="auto"/>
        </w:rPr>
        <w:t>1.20</w:t>
      </w:r>
    </w:p>
    <w:p>
      <w:pPr>
        <w:spacing w:after="0" w:line="245" w:lineRule="exact"/>
        <w:rPr>
          <w:sz w:val="20"/>
          <w:szCs w:val="20"/>
          <w:color w:val="auto"/>
        </w:rPr>
      </w:pPr>
    </w:p>
    <w:p>
      <w:pPr>
        <w:sectPr>
          <w:pgSz w:w="11900" w:h="16838" w:orient="portrait"/>
          <w:cols w:equalWidth="0" w:num="2">
            <w:col w:w="9320" w:space="237"/>
            <w:col w:w="1643"/>
          </w:cols>
          <w:pgMar w:left="320" w:top="125" w:right="379" w:bottom="1440" w:gutter="0" w:footer="0" w:header="0"/>
          <w:type w:val="continuous"/>
        </w:sectPr>
      </w:pPr>
    </w:p>
    <w:p>
      <w:pPr>
        <w:spacing w:after="0" w:line="13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On January 7, 2021, PAA declared a cash distribution of $0.18 per unit on its outstanding common units. The total distribution of $130 million was paid on February 12, 2021 to unitholders of record at the close of business on January 29, 2021, for the period from October 1, 2020 through December 31, 2020. Of this amount, approximately $44 million was paid to AAP.</w:t>
      </w:r>
    </w:p>
    <w:p>
      <w:pPr>
        <w:spacing w:after="0" w:line="211"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i w:val="1"/>
          <w:iCs w:val="1"/>
          <w:color w:val="auto"/>
        </w:rPr>
        <w:t xml:space="preserve">AAP Distributions. </w:t>
      </w:r>
      <w:r>
        <w:rPr>
          <w:rFonts w:ascii="Arial" w:cs="Arial" w:eastAsia="Arial" w:hAnsi="Arial"/>
          <w:sz w:val="16"/>
          <w:szCs w:val="16"/>
          <w:color w:val="auto"/>
        </w:rPr>
        <w:t>AAP distributes all of the cash received from PAA distributions on a quarterly basis, less reserves established in the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its general partner for future requirements. Generally, distributions are paid to its partners in proportion to their percentage interest in AAP. The following table details the distributions to AAP’s partners paid during the periods indicated from distributions received from PAA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Distributions to AAP’s Partners</w:t>
            </w: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r>
      <w:tr>
        <w:trPr>
          <w:trHeight w:val="344"/>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4"/>
                <w:szCs w:val="24"/>
                <w:color w:val="auto"/>
              </w:rPr>
            </w:pPr>
          </w:p>
        </w:tc>
        <w:tc>
          <w:tcPr>
            <w:tcW w:w="168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Noncontrolling Interests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PAGP</w:t>
            </w:r>
          </w:p>
        </w:tc>
        <w:tc>
          <w:tcPr>
            <w:tcW w:w="140" w:type="dxa"/>
            <w:vAlign w:val="bottom"/>
          </w:tcPr>
          <w:p>
            <w:pPr>
              <w:spacing w:after="0"/>
              <w:rPr>
                <w:sz w:val="24"/>
                <w:szCs w:val="24"/>
                <w:color w:val="auto"/>
              </w:rPr>
            </w:pPr>
          </w:p>
        </w:tc>
        <w:tc>
          <w:tcPr>
            <w:tcW w:w="166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Total Cash Distributions</w:t>
            </w:r>
          </w:p>
        </w:tc>
      </w:tr>
      <w:tr>
        <w:trPr>
          <w:trHeight w:val="229"/>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141</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bl>
    <w:p>
      <w:pPr>
        <w:spacing w:after="0" w:line="33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On February 12, 2021, AAP distributed $44 million to its partners from distributions received from PAA. Of this amount, $9 million was distributed to noncontrolling interests and $35 million was distributed to us.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years ended December 31, 2020 and 2019, distributions of $10 million and $6 million, respectively, were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interests in Red River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hydrocarbon commodity (referred to herein as “commodity”) price risk,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100" w:firstLine="607"/>
        <w:spacing w:after="0" w:line="311" w:lineRule="auto"/>
        <w:rPr>
          <w:sz w:val="20"/>
          <w:szCs w:val="20"/>
          <w:color w:val="auto"/>
        </w:rPr>
      </w:pPr>
      <w:r>
        <w:rPr>
          <w:rFonts w:ascii="Arial" w:cs="Arial" w:eastAsia="Arial" w:hAnsi="Arial"/>
          <w:sz w:val="16"/>
          <w:szCs w:val="16"/>
          <w:color w:val="auto"/>
        </w:rPr>
        <w:t>At December 31, 2020 and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2020, net derivative positions related to these activities included:</w:t>
      </w:r>
    </w:p>
    <w:p>
      <w:pPr>
        <w:spacing w:after="0" w:line="38" w:lineRule="exact"/>
        <w:rPr>
          <w:sz w:val="20"/>
          <w:szCs w:val="20"/>
          <w:color w:val="auto"/>
        </w:rPr>
      </w:pPr>
    </w:p>
    <w:p>
      <w:pPr>
        <w:ind w:left="980" w:right="12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net long position of 5.8 million barrels associated with our crude oil purchases, which was unwound ratably during January 2021 to match monthly average pricing.</w:t>
      </w:r>
    </w:p>
    <w:p>
      <w:pPr>
        <w:spacing w:after="0" w:line="6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net short time spread position of 6.6 million barrels, which hedges a portion of our anticipated crude oil lease gathering purchases through March 2022.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980" w:right="40" w:hanging="324"/>
        <w:spacing w:after="0" w:line="277" w:lineRule="auto"/>
        <w:tabs>
          <w:tab w:leader="none" w:pos="9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net crude oil basis spread position of 0.6 million barrels at multiple locations through December 2021. These derivatives allow us to lock in grade basis differentials.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net short position of 37.4 million barrels through December 2022 related to anticipated net sales of crude oil and NGL inventory.</w:t>
      </w:r>
    </w:p>
    <w:p>
      <w:pPr>
        <w:spacing w:after="0" w:line="26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Notional Volume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 Tenor</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37.3 Bcf</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(6.3) MMbls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(2.3) MMbls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(0.6) MMbls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14.3 Bcf</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304"/>
        </w:trPr>
        <w:tc>
          <w:tcPr>
            <w:tcW w:w="76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0.7 TWh</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83"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gain/(loss) from commodity derivative activity</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398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4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9"/>
              </w:rPr>
              <w:t>73</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4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534"/>
              <w:spacing w:after="0"/>
              <w:rPr>
                <w:sz w:val="20"/>
                <w:szCs w:val="20"/>
                <w:color w:val="auto"/>
              </w:rPr>
            </w:pPr>
            <w:r>
              <w:rPr>
                <w:rFonts w:ascii="Arial" w:cs="Arial" w:eastAsia="Arial" w:hAnsi="Arial"/>
                <w:sz w:val="18"/>
                <w:szCs w:val="18"/>
                <w:color w:val="auto"/>
                <w:w w:val="93"/>
              </w:rPr>
              <w:t>(45)</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42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93"/>
              </w:rPr>
              <w:t>(73)</w:t>
            </w:r>
          </w:p>
        </w:tc>
      </w:tr>
      <w:tr>
        <w:trPr>
          <w:trHeight w:val="223"/>
        </w:trPr>
        <w:tc>
          <w:tcPr>
            <w:tcW w:w="3980" w:type="dxa"/>
            <w:vAlign w:val="bottom"/>
          </w:tcPr>
          <w:p>
            <w:pPr>
              <w:ind w:left="140"/>
              <w:spacing w:after="0"/>
              <w:rPr>
                <w:sz w:val="20"/>
                <w:szCs w:val="20"/>
                <w:color w:val="auto"/>
              </w:rPr>
            </w:pPr>
            <w:r>
              <w:rPr>
                <w:rFonts w:ascii="Arial" w:cs="Arial" w:eastAsia="Arial" w:hAnsi="Arial"/>
                <w:sz w:val="18"/>
                <w:szCs w:val="18"/>
                <w:color w:val="auto"/>
              </w:rPr>
              <w:t>Net broker receivable/(payable)</w:t>
            </w:r>
          </w:p>
        </w:tc>
        <w:tc>
          <w:tcPr>
            <w:tcW w:w="42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93"/>
              </w:rPr>
              <w:t>(45)</w:t>
            </w:r>
          </w:p>
        </w:tc>
      </w:tr>
      <w:tr>
        <w:trPr>
          <w:trHeight w:val="21"/>
        </w:trPr>
        <w:tc>
          <w:tcPr>
            <w:tcW w:w="39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71"/>
        </w:trPr>
        <w:tc>
          <w:tcPr>
            <w:tcW w:w="3980" w:type="dxa"/>
            <w:vAlign w:val="bottom"/>
          </w:tcPr>
          <w:p>
            <w:pPr>
              <w:spacing w:after="0"/>
              <w:rPr>
                <w:sz w:val="24"/>
                <w:szCs w:val="24"/>
                <w:color w:val="auto"/>
              </w:rPr>
            </w:pPr>
          </w:p>
        </w:tc>
        <w:tc>
          <w:tcPr>
            <w:tcW w:w="5260" w:type="dxa"/>
            <w:vAlign w:val="bottom"/>
            <w:gridSpan w:val="2"/>
          </w:tcPr>
          <w:p>
            <w:pPr>
              <w:jc w:val="right"/>
              <w:ind w:right="3356"/>
              <w:spacing w:after="0"/>
              <w:rPr>
                <w:sz w:val="20"/>
                <w:szCs w:val="20"/>
                <w:color w:val="auto"/>
              </w:rPr>
            </w:pPr>
            <w:r>
              <w:rPr>
                <w:rFonts w:ascii="Arial" w:cs="Arial" w:eastAsia="Arial" w:hAnsi="Arial"/>
                <w:sz w:val="18"/>
                <w:szCs w:val="18"/>
                <w:color w:val="auto"/>
              </w:rPr>
              <w:t>F-43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7"/>
        </w:trPr>
        <w:tc>
          <w:tcPr>
            <w:tcW w:w="2560" w:type="dxa"/>
            <w:vAlign w:val="bottom"/>
          </w:tcPr>
          <w:p>
            <w:pPr>
              <w:spacing w:after="0"/>
              <w:rPr>
                <w:sz w:val="8"/>
                <w:szCs w:val="8"/>
                <w:color w:val="auto"/>
              </w:rPr>
            </w:pPr>
          </w:p>
        </w:tc>
        <w:tc>
          <w:tcPr>
            <w:tcW w:w="2040" w:type="dxa"/>
            <w:vAlign w:val="bottom"/>
            <w:tcBorders>
              <w:bottom w:val="single" w:sz="8" w:color="auto"/>
            </w:tcBorders>
            <w:gridSpan w:val="5"/>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199"/>
        </w:trPr>
        <w:tc>
          <w:tcPr>
            <w:tcW w:w="2560" w:type="dxa"/>
            <w:vAlign w:val="bottom"/>
          </w:tcPr>
          <w:p>
            <w:pPr>
              <w:spacing w:after="0"/>
              <w:rPr>
                <w:sz w:val="17"/>
                <w:szCs w:val="17"/>
                <w:color w:val="auto"/>
              </w:rPr>
            </w:pP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w w:val="87"/>
              </w:rPr>
              <w:t>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25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spacing w:after="0" w:line="176" w:lineRule="exact"/>
              <w:rPr>
                <w:sz w:val="20"/>
                <w:szCs w:val="20"/>
                <w:color w:val="auto"/>
              </w:rPr>
            </w:pPr>
            <w:r>
              <w:rPr>
                <w:rFonts w:ascii="Arial" w:cs="Arial" w:eastAsia="Arial" w:hAnsi="Arial"/>
                <w:sz w:val="18"/>
                <w:szCs w:val="18"/>
                <w:color w:val="auto"/>
              </w:rPr>
              <w:t>Other long-term liabilities and</w:t>
            </w:r>
          </w:p>
        </w:tc>
        <w:tc>
          <w:tcPr>
            <w:tcW w:w="7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deferred credits</w:t>
            </w:r>
          </w:p>
        </w:tc>
        <w:tc>
          <w:tcPr>
            <w:tcW w:w="70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157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1">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2">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440"/>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3" w:lineRule="exact"/>
        <w:rPr>
          <w:sz w:val="20"/>
          <w:szCs w:val="20"/>
          <w:color w:val="auto"/>
        </w:rPr>
      </w:pPr>
    </w:p>
    <w:p>
      <w:pPr>
        <w:sectPr>
          <w:pgSz w:w="11900" w:h="16838" w:orient="portrait"/>
          <w:cols w:equalWidth="0" w:num="2">
            <w:col w:w="6800" w:space="180"/>
            <w:col w:w="426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December 31, 2020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Rate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60" w:type="dxa"/>
            <w:vAlign w:val="bottom"/>
            <w:gridSpan w:val="2"/>
            <w:vMerge w:val="continue"/>
          </w:tcPr>
          <w:p>
            <w:pPr>
              <w:spacing w:after="0"/>
              <w:rPr>
                <w:sz w:val="16"/>
                <w:szCs w:val="16"/>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Derivatives Employed</w:t>
            </w:r>
          </w:p>
        </w:tc>
        <w:tc>
          <w:tcPr>
            <w:tcW w:w="20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Locked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0"/>
        </w:trPr>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(30-year)</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December 31, 2020, there was a net loss of $258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$11 million, $9 million and $5 million during years ended December 31, 2020, 2019 and 2018, respectively. Of the total net loss deferred in AOCI at December 31, 2020,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December 31, 2020; thus, actual amounts to be reclassified will differ and could vary materially as a result of changes in market conditions.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At December 31, 2020, the net fair value of our interest rate hedges, which were included in “Other long-term assets” on our Consolidated Balance Sheet, totaled $46 million. At December 31, 2019, the fair value of these hedges was $44 million and included in “Other current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52"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3"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2020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USD</w:t>
            </w:r>
          </w:p>
        </w:tc>
        <w:tc>
          <w:tcPr>
            <w:tcW w:w="18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shd w:val="clear" w:color="auto" w:fill="CCEEFF"/>
          </w:tcPr>
          <w:p>
            <w:pPr>
              <w:jc w:val="right"/>
              <w:ind w:right="285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$1.00 - $1.28</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440" w:type="dxa"/>
            <w:vAlign w:val="bottom"/>
          </w:tcPr>
          <w:p>
            <w:pPr>
              <w:jc w:val="right"/>
              <w:ind w:right="285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These derivatives are not designated as a hedging relationship. As such, changes in fair value are recognized in earnings as a component of Supply and Logistics segment revenues. For the years ended December 31, 2020, 2019 and 2018, the amounts recognized in earnings for our currency exchange rate hedges were a gain of less than $1 million, a gain of $8 million and a loss of $23 million, respectively.</w:t>
      </w:r>
    </w:p>
    <w:p>
      <w:pPr>
        <w:spacing w:after="0" w:line="192"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At December 31, 2020, the net fair value of these currency exchange rate hedges, which is included in “Other current assets” on our Consolidated Balance Sheet, totaled $2 million. At December 31, 2019, the net fair value of these currency exchange rate hedges, which was included in “Other current assets” and “Other current liabilities” on our Condensed Consolidated Balance Sheet, totaled $2 million and $1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Sheets. This embedded derivative is not designated as a hedging relationship and corresponding changes in fair value are recognized in “Other income/(expense), net” in our Consolidated Statement of Operations. For the years ended December 31, 2020, 2019 and 2018 we recognized net gains of $20 million, $2 million and a net loss of $14 million, respectively. The fair value of the Preferred Distribution Rate Reset Option, which was included in “Other long-term liabilities and deferred credits” on our Consolidated Balance Sheets, totaled $14 million and $34 million at December 31, 2020 and 2019, respectively. See Note 12 for additional information regarding our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9"/>
          </w:tcPr>
          <w:p>
            <w:pPr>
              <w:ind w:left="640"/>
              <w:spacing w:after="0"/>
              <w:rPr>
                <w:sz w:val="20"/>
                <w:szCs w:val="20"/>
                <w:color w:val="auto"/>
              </w:rPr>
            </w:pPr>
            <w:r>
              <w:rPr>
                <w:rFonts w:ascii="Arial" w:cs="Arial" w:eastAsia="Arial" w:hAnsi="Arial"/>
                <w:sz w:val="14"/>
                <w:szCs w:val="14"/>
                <w:b w:val="1"/>
                <w:bCs w:val="1"/>
                <w:color w:val="auto"/>
                <w:w w:val="96"/>
              </w:rPr>
              <w:t>Fair Value as of December 31, 2020</w:t>
            </w:r>
          </w:p>
        </w:tc>
        <w:tc>
          <w:tcPr>
            <w:tcW w:w="660" w:type="dxa"/>
            <w:vAlign w:val="bottom"/>
            <w:tcBorders>
              <w:bottom w:val="single" w:sz="8" w:color="auto"/>
            </w:tcBorders>
          </w:tcPr>
          <w:p>
            <w:pPr>
              <w:spacing w:after="0"/>
              <w:rPr>
                <w:sz w:val="16"/>
                <w:szCs w:val="16"/>
                <w:color w:val="auto"/>
              </w:rPr>
            </w:pPr>
          </w:p>
        </w:tc>
      </w:tr>
      <w:tr>
        <w:trPr>
          <w:trHeight w:val="189"/>
        </w:trPr>
        <w:tc>
          <w:tcPr>
            <w:tcW w:w="34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8"/>
                <w:szCs w:val="18"/>
                <w:b w:val="1"/>
                <w:bCs w:val="1"/>
                <w:color w:val="auto"/>
                <w:vertAlign w:val="superscript"/>
              </w:rPr>
              <w:t>(1)</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22"/>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left="17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Foreign currency derivatives</w:t>
            </w:r>
          </w:p>
        </w:tc>
        <w:tc>
          <w:tcPr>
            <w:tcW w:w="1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left="17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center"/>
              <w:ind w:left="27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center"/>
              <w:ind w:left="273"/>
              <w:spacing w:after="0"/>
              <w:rPr>
                <w:sz w:val="20"/>
                <w:szCs w:val="20"/>
                <w:color w:val="auto"/>
              </w:rPr>
            </w:pPr>
            <w:r>
              <w:rPr>
                <w:rFonts w:ascii="Arial" w:cs="Arial" w:eastAsia="Arial" w:hAnsi="Arial"/>
                <w:sz w:val="18"/>
                <w:szCs w:val="18"/>
                <w:color w:val="auto"/>
                <w:w w:val="93"/>
              </w:rPr>
              <w:t>(29)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1"/>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054850" cy="763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5">
                      <a:extLst>
                        <a:ext uri="{28A0092B-C50C-407E-A947-70E740481C1C}"/>
                      </a:extLst>
                    </a:blip>
                    <a:srcRect/>
                    <a:stretch>
                      <a:fillRect/>
                    </a:stretch>
                  </pic:blipFill>
                  <pic:spPr bwMode="auto">
                    <a:xfrm>
                      <a:off x="0" y="0"/>
                      <a:ext cx="7054850" cy="763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Fair Value as of 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22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left="17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left="17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center"/>
              <w:ind w:left="27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center"/>
              <w:ind w:left="273"/>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220"/>
            <w:col w:w="386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52"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10"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52"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75"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52" w:lineRule="exact"/>
        <w:rPr>
          <w:rFonts w:ascii="Arial" w:cs="Arial" w:eastAsia="Arial" w:hAnsi="Arial"/>
          <w:sz w:val="23"/>
          <w:szCs w:val="23"/>
          <w:color w:val="auto"/>
          <w:vertAlign w:val="superscript"/>
        </w:rPr>
      </w:pPr>
    </w:p>
    <w:p>
      <w:pPr>
        <w:ind w:left="660" w:right="86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73"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98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Derivatives entered into during the period</w:t>
            </w:r>
          </w:p>
        </w:tc>
        <w:tc>
          <w:tcPr>
            <w:tcW w:w="98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(26)</w:t>
            </w:r>
          </w:p>
        </w:tc>
        <w:tc>
          <w:tcPr>
            <w:tcW w:w="0" w:type="dxa"/>
            <w:vAlign w:val="bottom"/>
          </w:tcPr>
          <w:p>
            <w:pPr>
              <w:spacing w:after="0"/>
              <w:rPr>
                <w:sz w:val="1"/>
                <w:szCs w:val="1"/>
                <w:color w:val="auto"/>
              </w:rPr>
            </w:pP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Change in unrealized gains/(losses) included in earnings relating to Level 3 derivatives still held at the end of the</w:t>
            </w:r>
          </w:p>
        </w:tc>
        <w:tc>
          <w:tcPr>
            <w:tcW w:w="980" w:type="dxa"/>
            <w:vAlign w:val="bottom"/>
            <w:vMerge w:val="restart"/>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98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36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January 1, 2019, we adopted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using the optional transitional method, thereby applying the new guidance at the effective date, without adjusting the comparative periods. Therefore, results for reporting periods beginning after January 1, 2019 are presented under Topic 842, while prior period amounts are not adjusted and continue to be reported in accordance with our historic accounting under ASC Topic 840, </w:t>
      </w:r>
      <w:r>
        <w:rPr>
          <w:rFonts w:ascii="Arial" w:cs="Arial" w:eastAsia="Arial" w:hAnsi="Arial"/>
          <w:sz w:val="17"/>
          <w:szCs w:val="17"/>
          <w:i w:val="1"/>
          <w:iCs w:val="1"/>
          <w:color w:val="auto"/>
        </w:rPr>
        <w:t xml:space="preserve">Leases </w:t>
      </w:r>
      <w:r>
        <w:rPr>
          <w:rFonts w:ascii="Arial" w:cs="Arial" w:eastAsia="Arial" w:hAnsi="Arial"/>
          <w:sz w:val="17"/>
          <w:szCs w:val="17"/>
          <w:color w:val="auto"/>
        </w:rPr>
        <w:t>(“Topic 840”). We evaluate all agreements entered into or modified after the date of adoption of Topic 842 that convey to us the use of property or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3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2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8" w:name="page169"/>
    <w:bookmarkEnd w:id="1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components of lease cost, including both amounts recognized in income and amounts capitalized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Cost</w:t>
            </w: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Other</w:t>
            </w:r>
            <w:r>
              <w:rPr>
                <w:rFonts w:ascii="Arial" w:cs="Arial" w:eastAsia="Arial" w:hAnsi="Arial"/>
                <w:sz w:val="10"/>
                <w:szCs w:val="10"/>
                <w:color w:val="auto"/>
              </w:rPr>
              <w:t xml:space="preserve"> (1) (2)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1"/>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finance lease costs, variable lease costs and sublease income.</w:t>
      </w:r>
    </w:p>
    <w:p>
      <w:pPr>
        <w:spacing w:after="0" w:line="117" w:lineRule="exact"/>
        <w:rPr>
          <w:sz w:val="20"/>
          <w:szCs w:val="20"/>
          <w:color w:val="auto"/>
        </w:rPr>
      </w:pPr>
    </w:p>
    <w:p>
      <w:pPr>
        <w:ind w:left="20" w:right="620" w:hanging="11"/>
        <w:spacing w:after="0" w:line="277" w:lineRule="auto"/>
        <w:rPr>
          <w:sz w:val="20"/>
          <w:szCs w:val="20"/>
          <w:color w:val="auto"/>
        </w:rPr>
      </w:pPr>
      <w:r>
        <w:rPr>
          <w:rFonts w:ascii="Arial" w:cs="Arial" w:eastAsia="Arial" w:hAnsi="Arial"/>
          <w:sz w:val="18"/>
          <w:szCs w:val="18"/>
          <w:color w:val="auto"/>
        </w:rPr>
        <w:t>Includes approximately $6 million for the year ended December 31, 2020 associated with leased storage tanks owned by an equity method investee, in which we own a 50% interest.</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cost for the year ended December 31, 2018, accounted for in accordance with Topic 840, was $199 million.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Non-cash change in lease liabilities arising from obtaining new right-of-use assets or modifications: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8280" w:type="dxa"/>
            <w:vAlign w:val="bottom"/>
          </w:tcPr>
          <w:p>
            <w:pPr>
              <w:ind w:left="1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0" w:right="60" w:hanging="652"/>
        <w:spacing w:after="0" w:line="227" w:lineRule="auto"/>
        <w:tabs>
          <w:tab w:leader="none" w:pos="648"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$25 million and $12 million for the years ended December 31, 2020 and 2019, respectively, associated with leased storage tanks owned by an equity method investee, in which we own a 50% interest.</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Information related to the weighted-average remaining lease term and discount rate is presented in the table below:</w:t>
      </w:r>
    </w:p>
    <w:p>
      <w:pPr>
        <w:spacing w:after="0" w:line="284"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02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02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9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Consolidated Balance Sheets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8"/>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Finance lease right-of-use assets </w:t>
            </w:r>
            <w:r>
              <w:rPr>
                <w:rFonts w:ascii="Arial" w:cs="Arial" w:eastAsia="Arial" w:hAnsi="Arial"/>
                <w:sz w:val="23"/>
                <w:szCs w:val="23"/>
                <w:color w:val="auto"/>
                <w:vertAlign w:val="superscript"/>
              </w:rPr>
              <w:t>(1)</w:t>
            </w: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Property and equipment,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Current</w:t>
            </w: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Other 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Noncurrent</w:t>
            </w:r>
          </w:p>
        </w:tc>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Total operating lease liabilities</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(1)</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w:t>
            </w:r>
          </w:p>
        </w:tc>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Short-term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3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Noncurrent</w:t>
            </w:r>
          </w:p>
        </w:tc>
        <w:tc>
          <w:tcPr>
            <w:tcW w:w="4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Other long-term debt,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4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3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5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38" w:lineRule="auto"/>
        <w:tabs>
          <w:tab w:leader="none" w:pos="648" w:val="left"/>
        </w:tabs>
        <w:numPr>
          <w:ilvl w:val="0"/>
          <w:numId w:val="95"/>
        </w:numPr>
        <w:rPr>
          <w:rFonts w:ascii="Arial" w:cs="Arial" w:eastAsia="Arial" w:hAnsi="Arial"/>
          <w:sz w:val="22"/>
          <w:szCs w:val="22"/>
          <w:color w:val="auto"/>
          <w:vertAlign w:val="superscript"/>
        </w:rPr>
      </w:pPr>
      <w:r>
        <w:rPr>
          <w:rFonts w:ascii="Arial" w:cs="Arial" w:eastAsia="Arial" w:hAnsi="Arial"/>
          <w:sz w:val="17"/>
          <w:szCs w:val="17"/>
          <w:color w:val="auto"/>
        </w:rPr>
        <w:t>Includes right-of-use assets of $35 million and $12 million and lease liabilities of $36 million and $12 million as of December 31, 2020 and 2019, respectively, associated with leased storage tanks owned by an equity method investee, in which we own a 50%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reconciled to our lease liabilities on our Consolidated Balance Sheet (amounts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 xml:space="preserve">Finance </w:t>
            </w:r>
            <w:r>
              <w:rPr>
                <w:rFonts w:ascii="Arial" w:cs="Arial" w:eastAsia="Arial" w:hAnsi="Arial"/>
                <w:sz w:val="18"/>
                <w:szCs w:val="18"/>
                <w:b w:val="1"/>
                <w:bCs w:val="1"/>
                <w:color w:val="auto"/>
                <w:vertAlign w:val="superscript"/>
              </w:rPr>
              <w:t>(2)</w:t>
            </w:r>
          </w:p>
        </w:tc>
      </w:tr>
      <w:tr>
        <w:trPr>
          <w:trHeight w:val="209"/>
        </w:trPr>
        <w:tc>
          <w:tcPr>
            <w:tcW w:w="768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2021</w:t>
            </w: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2023</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2025</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7680" w:type="dxa"/>
            <w:vAlign w:val="bottom"/>
          </w:tcPr>
          <w:p>
            <w:pPr>
              <w:ind w:left="2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
        </w:trPr>
        <w:tc>
          <w:tcPr>
            <w:tcW w:w="7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Excludes future minimum payments for short-term and other immaterial leases not included on our Consolidated Balance Sheet.</w:t>
      </w:r>
    </w:p>
    <w:p>
      <w:pPr>
        <w:spacing w:after="0" w:line="129" w:lineRule="exact"/>
        <w:rPr>
          <w:sz w:val="20"/>
          <w:szCs w:val="20"/>
          <w:color w:val="auto"/>
        </w:rPr>
      </w:pPr>
    </w:p>
    <w:p>
      <w:pPr>
        <w:ind w:left="20" w:right="720" w:hanging="11"/>
        <w:spacing w:after="0" w:line="308" w:lineRule="auto"/>
        <w:rPr>
          <w:sz w:val="20"/>
          <w:szCs w:val="20"/>
          <w:color w:val="auto"/>
        </w:rPr>
      </w:pPr>
      <w:r>
        <w:rPr>
          <w:rFonts w:ascii="Arial" w:cs="Arial" w:eastAsia="Arial" w:hAnsi="Arial"/>
          <w:sz w:val="17"/>
          <w:szCs w:val="17"/>
          <w:color w:val="auto"/>
        </w:rPr>
        <w:t>Includes payments of approximately $6 million for each of the years ending 2021 through 2025 and approximately $64 million thereafter associated with leased storage tanks owned by an equity method investee, in which we own a 50% interest.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21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years ended December 31, 2020 and 2019, our lease revenue was not material.</w:t>
      </w:r>
    </w:p>
    <w:p>
      <w:pPr>
        <w:spacing w:after="0" w:line="21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December 31, 2020. This presentation includes minimum fixed lease payments and does not include an estimate of variable lease consideration. These agreements have remaining lease terms ranging from one year to 21 years. The following table presents the undiscounted cash flows expected to be received related to these agreements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2020 and 2019, we had not recognized any material amounts in connection with uncertainty in income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U.S. federal and state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State income tax</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36"/>
        </w:trPr>
        <w:tc>
          <w:tcPr>
            <w:tcW w:w="6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Deferred income tax expense/(benefit):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income tax</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State income tax</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expense/(benefit)</w:t>
            </w: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expense/(benefit)</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2" w:name="page173"/>
    <w:bookmarkEnd w:id="1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2,409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(income)/loss attributable to noncontrolling interests</w:t>
            </w: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(1,773)</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(198)</w:t>
            </w:r>
          </w:p>
        </w:tc>
      </w:tr>
      <w:tr>
        <w:trPr>
          <w:trHeight w:val="223"/>
        </w:trPr>
        <w:tc>
          <w:tcPr>
            <w:tcW w:w="64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438</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tax expense/(benefit) at statutory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92</w:t>
            </w:r>
          </w:p>
        </w:tc>
      </w:tr>
      <w:tr>
        <w:trPr>
          <w:trHeight w:val="256"/>
        </w:trPr>
        <w:tc>
          <w:tcPr>
            <w:tcW w:w="6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Deferred tax rate adjustment</w:t>
            </w: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Income taxes attributable to noncontrolling interests: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Canadian federal and provincial income tax</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195</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 income tax</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6"/>
          <w:szCs w:val="16"/>
          <w:color w:val="auto"/>
        </w:rPr>
        <w:t>The Canadian federal and provincial income tax for the year ended December 31, 2020 reflects the impact of permanent differences primarily related to an impairment of goodwill that was recognized during the year. A portion of the goodwill that was impaired had no basis for Canadian income</w:t>
      </w:r>
    </w:p>
    <w:p>
      <w:pPr>
        <w:spacing w:after="0" w:line="277" w:lineRule="auto"/>
        <w:rPr>
          <w:sz w:val="20"/>
          <w:szCs w:val="20"/>
          <w:color w:val="auto"/>
        </w:rPr>
      </w:pPr>
      <w:r>
        <w:rPr>
          <w:rFonts w:ascii="Arial" w:cs="Arial" w:eastAsia="Arial" w:hAnsi="Arial"/>
          <w:sz w:val="18"/>
          <w:szCs w:val="18"/>
          <w:color w:val="auto"/>
        </w:rPr>
        <w:t>tax purposes and thus was not a deductible expense in determining taxable income, resulting in a permanent difference for Canadian tax purposes. See Note 8 for additional information regarding this impairment.</w:t>
      </w:r>
    </w:p>
    <w:p>
      <w:pPr>
        <w:spacing w:after="0" w:line="19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 In the fourth quarter of 2020, the Alberta government changed the timing of the rate reduction to decrease the corporate income tax rate to 8% starting July 1, 2020.</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tax assets and liabilities are aggregated by the applicable tax paying entity and jurisdiction and result from the following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 in partnerships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50"/>
        </w:trPr>
        <w:tc>
          <w:tcPr>
            <w:tcW w:w="8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Property and equipment in excess of tax values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Lease assets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sheet classification of deferred tax assets/(liabilities):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 Also, in connection with the repurchase of common units by PAA and the associated adjustment to partners’ capital attributable to PAGP, a corresponding change to the deferred tax balance was recorded to partners’ capital. See Note 12 for additional information regarding exchanges and the repurchase of common units by PAA.</w:t>
      </w:r>
    </w:p>
    <w:p>
      <w:pPr>
        <w:spacing w:after="0" w:line="20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of December 31, 2020, our federal, state, and foreign net operating loss carryforwards for income tax purposes were approximately $2,328 million, $690 million and $9 million, respectively. If not utilized, the state and foreign net operating losses will begin to expire in 2021 and 2034, respectively, and a portion of our federal net operating losses will begin to expire in 2033. Under the Tax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20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2016 through 2020. Our U.S. and state tax years are generally open to examination from 2017 to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4" w:name="page175"/>
    <w:bookmarkEnd w:id="1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of December 31, 2020, in reference to tax years 2008 to 2015,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$91 million (based on the exchange rate as of December 31, 2020). Payment of a portion of the assessment is required in order to file a notice of objection to dispute the reassessment. Accordingly, we have remitted approximately $64 million (based on the exchange rate as of December 31, 2020)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2020, we believe that our tax position associated with these matters is “more likely than not” to be sustained and have not recognized any amounts for uncertainty in income taxes related to these notices.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16—Major Customers and Concentration of Credit Risk</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13%, 12% and 14% of our revenues for the years ended December 31, 2020, 2019 and 2018, respectively. ExxonMobil Corporation and its subsidiaries accounted for 12%, 12% and 14% of our revenues for the years ended December 31, 2020, 2019 and 2018, respectively. Phillips 66 Company and its subsidiaries accounted for 11% of our revenues for the year ended December 31, 2019. No other customers accounted for 10% or more of our revenues during any of the three years ended December 31, 2020.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20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Ownership of our Class C Shares</w:t>
      </w:r>
    </w:p>
    <w:p>
      <w:pPr>
        <w:spacing w:after="0" w:line="25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As of December 31, 2020 and 2019, PAA owned 547,717,762 and 549,538,139, respectively, Class C shares. See Note 12 for additional information regarding our Class C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Plains Entities entered into an Omnibus Agreement on November 15, 2016, which, among other things, provides for the following:</w:t>
      </w:r>
    </w:p>
    <w:p>
      <w:pPr>
        <w:spacing w:after="0" w:line="264" w:lineRule="exact"/>
        <w:rPr>
          <w:sz w:val="20"/>
          <w:szCs w:val="20"/>
          <w:color w:val="auto"/>
        </w:rPr>
      </w:pPr>
    </w:p>
    <w:p>
      <w:pPr>
        <w:ind w:left="660" w:right="460" w:hanging="328"/>
        <w:spacing w:after="0" w:line="308" w:lineRule="auto"/>
        <w:tabs>
          <w:tab w:leader="none" w:pos="6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73" w:lineRule="exact"/>
        <w:rPr>
          <w:rFonts w:ascii="Arial" w:cs="Arial" w:eastAsia="Arial" w:hAnsi="Arial"/>
          <w:sz w:val="17"/>
          <w:szCs w:val="17"/>
          <w:color w:val="auto"/>
        </w:rPr>
      </w:pPr>
    </w:p>
    <w:p>
      <w:pPr>
        <w:ind w:left="660" w:right="10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5" w:name="page176"/>
    <w:bookmarkEnd w:id="1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other related parties include (i) principal owners and their affiliated entities and (ii) entities in which we hold investments and account for under the equity method of accounting (see Note 9 for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2020, Kayne Anderson Capital Advisors, L.P. was a principal owner. Through various transactions by an affiliate of EMG in May 2019, EMG’s limited partner interest in AAP was significantly reduced, which caused EMG to lose its right to designate a representative on the board of directors of PAGP GP. As a result, EMG’s board designee, John T. Raymond, was automatically removed from the PAGP GP board. Subsequent to such removal, Mr. Raymond was elected to continue to serve as a director of the PAGP GP board. Additionally, as a result of various transactions by Oxy in September 2019, Oxy no longer holds a limited partner interest in AAP and lost its right to designate a representative on the board of directors of PAGP GP. As a result, Oxy’s board designee, Oscar Brown, was automatically removed from the PAGP GP board. Following these transactions, we no longer recognize EMG or Oxy as a principal owner.</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years ended December 31, 2020, we recognized sales and transportation revenues, purchased petroleum products and utilized transportation and storage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Consolidated Statements of Operations from these transactions is included below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70"/>
        </w:trPr>
        <w:tc>
          <w:tcPr>
            <w:tcW w:w="6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337"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Our receivable and payable amounts with these related parties as reflected on our Consolidated Balance Sheets were as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8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62" w:lineRule="exact"/>
        <w:rPr>
          <w:sz w:val="20"/>
          <w:szCs w:val="20"/>
          <w:color w:val="auto"/>
        </w:rPr>
      </w:pPr>
    </w:p>
    <w:p>
      <w:pPr>
        <w:ind w:right="160" w:hanging="11"/>
        <w:spacing w:after="0" w:line="263" w:lineRule="auto"/>
        <w:rPr>
          <w:sz w:val="20"/>
          <w:szCs w:val="20"/>
          <w:color w:val="auto"/>
        </w:rPr>
      </w:pPr>
      <w:r>
        <w:rPr>
          <w:rFonts w:ascii="Arial" w:cs="Arial" w:eastAsia="Arial" w:hAnsi="Arial"/>
          <w:sz w:val="18"/>
          <w:szCs w:val="18"/>
          <w:color w:val="auto"/>
        </w:rPr>
        <w:t>We have agreements to store at facilities and transport crude oil on pipelines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6" w:name="page177"/>
    <w:bookmarkEnd w:id="1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18—Equity-Indexed Compensation Plans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equity-indexed compensation plans primarily include PAGP and PAA LTIPs. 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0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2020 (in millions):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LTIP</w:t>
            </w:r>
          </w:p>
        </w:tc>
        <w:tc>
          <w:tcPr>
            <w:tcW w:w="2180" w:type="dxa"/>
            <w:vAlign w:val="bottom"/>
          </w:tcPr>
          <w:p>
            <w:pPr>
              <w:jc w:val="right"/>
              <w:ind w:right="855"/>
              <w:spacing w:after="0"/>
              <w:rPr>
                <w:sz w:val="20"/>
                <w:szCs w:val="20"/>
                <w:color w:val="auto"/>
              </w:rPr>
            </w:pPr>
            <w:r>
              <w:rPr>
                <w:rFonts w:ascii="Arial" w:cs="Arial" w:eastAsia="Arial" w:hAnsi="Arial"/>
                <w:sz w:val="14"/>
                <w:szCs w:val="14"/>
                <w:b w:val="1"/>
                <w:bCs w:val="1"/>
                <w:color w:val="auto"/>
              </w:rPr>
              <w:t>LTIP</w:t>
            </w:r>
          </w:p>
        </w:tc>
        <w:tc>
          <w:tcPr>
            <w:tcW w:w="0" w:type="dxa"/>
            <w:vAlign w:val="bottom"/>
          </w:tcPr>
          <w:p>
            <w:pPr>
              <w:spacing w:after="0"/>
              <w:rPr>
                <w:sz w:val="1"/>
                <w:szCs w:val="1"/>
                <w:color w:val="auto"/>
              </w:rPr>
            </w:pPr>
          </w:p>
        </w:tc>
      </w:tr>
      <w:tr>
        <w:trPr>
          <w:trHeight w:val="188"/>
        </w:trPr>
        <w:tc>
          <w:tcPr>
            <w:tcW w:w="8960" w:type="dxa"/>
            <w:vAlign w:val="bottom"/>
            <w:gridSpan w:val="2"/>
            <w:vMerge w:val="continue"/>
          </w:tcPr>
          <w:p>
            <w:pPr>
              <w:spacing w:after="0"/>
              <w:rPr>
                <w:sz w:val="16"/>
                <w:szCs w:val="16"/>
                <w:color w:val="auto"/>
              </w:rPr>
            </w:pPr>
          </w:p>
        </w:tc>
        <w:tc>
          <w:tcPr>
            <w:tcW w:w="2180" w:type="dxa"/>
            <w:vAlign w:val="bottom"/>
          </w:tcPr>
          <w:p>
            <w:pPr>
              <w:jc w:val="right"/>
              <w:ind w:right="415"/>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24"/>
        </w:trPr>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Plains GP Holdings, L.P. Long-Term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Plains All American 2013 Long-Term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PNG Successor Long-Term Incentive Plan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896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0" w:hanging="652"/>
        <w:spacing w:after="0" w:line="227" w:lineRule="auto"/>
        <w:tabs>
          <w:tab w:leader="none" w:pos="648"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Of the 29.0 million total awards authorized, 5.6 million awards are currently available. The remaining balance has already vested or is currently outstanding.</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20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As of December 31, 2020, 9.6 million PAA LTIP awards and 0.2 million PAGP LTIP awards were outstanding. Of this amount, 6.9 million PAA LTIP awards and 0.2 million PAGP LTIP awards include DERs. At December 31, 2020, certain of the outstanding LTIP awards were considered probable of vesting and such awards are expected to vest at various dates between January 2021 and August 2026.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7" w:name="page178"/>
    <w:bookmarkEnd w:id="1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2020 are summarized below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r>
      <w:tr>
        <w:trPr>
          <w:trHeight w:val="229"/>
        </w:trPr>
        <w:tc>
          <w:tcPr>
            <w:tcW w:w="41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4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80" w:hanging="11"/>
        <w:spacing w:after="0" w:line="277"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197" w:lineRule="exact"/>
        <w:rPr>
          <w:sz w:val="20"/>
          <w:szCs w:val="20"/>
          <w:color w:val="auto"/>
        </w:rPr>
      </w:pPr>
    </w:p>
    <w:p>
      <w:pPr>
        <w:ind w:right="60" w:hanging="11"/>
        <w:spacing w:after="0" w:line="255" w:lineRule="auto"/>
        <w:rPr>
          <w:sz w:val="20"/>
          <w:szCs w:val="20"/>
          <w:color w:val="auto"/>
        </w:rPr>
      </w:pPr>
      <w:r>
        <w:rPr>
          <w:rFonts w:ascii="Arial" w:cs="Arial" w:eastAsia="Arial" w:hAnsi="Arial"/>
          <w:sz w:val="18"/>
          <w:szCs w:val="18"/>
          <w:color w:val="auto"/>
        </w:rPr>
        <w:t>Primarily includes storage, transportation and pipeline throughput agreements, as well as certain rights-of-way easements. Expense associated with our storage, transportation and pipeline throughput agreements was approximately $265 million, $236 million and $228 million for 2020, 2019 and 2018, respectively. A majority of the storage, transportation and pipeline throughput commitments are associated with agreements to store crude oil at facilities and transport crude oil on pipelines owned by equity method investees, in which we own a 50% interest, at posted tariff rates or prices that we believe approximate market.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3"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1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1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At December 31, 2020, our estimated undiscounted reserve for environmental liabilities (including liabilities related to the Line 901 incident, as discussed further below) totaled $141 million, of which $94 million was classified as short-term and $47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short-term liabilities are reflected in “Trade accounts payable” and “Other current liabilities” and long-term liabilities are reflected in “Other long-term liabilities and deferred credits” on our Consolidated Balance Sheets. At December 31, 2020, we had recorded receivables totaling $97 million for amounts probable of recovery under insurance and from third parties under indemnification agreements, of which $96 million was classified as short-term and $1 million was classified as long-term.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Consolidated Balance Sheets.</w:t>
      </w:r>
    </w:p>
    <w:p>
      <w:pPr>
        <w:spacing w:after="0" w:line="21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claims asserted by the regulatory agencies.</w:t>
      </w:r>
    </w:p>
    <w:p>
      <w:pPr>
        <w:spacing w:after="0" w:line="19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only pending matter relating to these proceedings is that the Superior Court indicated that it would conduct further hearings on the issue of whether there were any “direct victims” of the spill that are entitled to restitution under applicable law.</w:t>
      </w:r>
    </w:p>
    <w:p>
      <w:pPr>
        <w:spacing w:after="0" w:line="21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indefinitely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PAA against PAGP and certain of PAA’s affiliates, officers and directors. After various claims were either dismissed or consolidated, one proceeding against PAGP remains pending in Delaware Chancery Court. Generally, the plaintiffs claim that PAGP failed to exercise proper oversight over PAA’s pipeline integrity efforts. We will vigorously defend the claim. No trial date has been set in this action.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0" w:name="page181"/>
    <w:bookmarkEnd w:id="1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The courts have not finally resolved whether those claims are legally viable; however, if necessary, we will mount vigorous defenses to them. We may be subject to additional claims and lawsuits, which could materially impact the liabilities and costs we currently expect to incur as a result of the Line 901 incident.</w:t>
      </w:r>
    </w:p>
    <w:p>
      <w:pPr>
        <w:spacing w:after="0" w:line="2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2020, we estimate that the aggregate total costs we have incurred or will incur with respect to the Line 901 incident will be approximately $460 million, which estimate includes actual and projected emergency response and clean-up costs, natural resource damage assessments, fines and penalties payable pursuant to the Consent Decree and certain third-party claims settlements, as well as estimates for certain legal fees.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we had a remaining undiscounted gross liability of $86 million related to this event, which is reflected in “Trade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“Other current liabilities” on our Consolidated Balance Sheet. We maintain insurance coverage, which is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exclusions and deductibles, in the event of such environmental liabilities. Subject to such exclusions and deductibles, we believe that our coverage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adequate to cover the current estimated total emergency response and clean-up costs, claims settlement costs and remediation costs and we believe that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coverage is also adequate to cover any potential increase in the estimates for these costs that exceed the amounts currently identified.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had collected, subject to customary reservations, $245 million out of the approximate $335 million of release costs that we believe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probable of recovery from insurance carriers, net of deductibles. Therefore, as of December 31, 2020, we have recognized a receivable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$90 million for the portion of the release costs that we believe is probable of recovery from insurance, net of deductibles and amounts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already collected. Such amount is recognized as a current asset in “Trade accounts receivable and other receivables, net” on our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Sheet. We have completed the required clean-up and remediation work as determined by the Unified Command and the Unified Command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dissolved; however, we expect to make payments for additional costs associated with restoration of the impacted areas, as well as legal, professional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regulatory costs during future periods.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Assets we have acquired or will acquire in the future may have environmental remediation liabilities for which we are not indemnified. We have in the past experienced and in the future likely will experience releases of hydrocarbon products into the environment from our pipeline, rail, storage and other facility operations. We also may discover environmental impacts from past releases that were previously unidentified.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Financial Data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4"/>
                <w:szCs w:val="14"/>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7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2020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Net income/(loss) attributable to PAGP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income/(loss) per Class A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Diluted net income/(loss) per Class A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2019</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Diluted net income per Class A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(iii) Depreciation and amortization and</w:t>
      </w:r>
    </w:p>
    <w:p>
      <w:pPr>
        <w:spacing w:after="0" w:line="46" w:lineRule="exact"/>
        <w:rPr>
          <w:sz w:val="20"/>
          <w:szCs w:val="20"/>
          <w:color w:val="auto"/>
        </w:rPr>
      </w:pPr>
    </w:p>
    <w:p>
      <w:pPr>
        <w:ind w:right="5420" w:firstLine="16"/>
        <w:spacing w:after="0" w:line="464" w:lineRule="auto"/>
        <w:tabs>
          <w:tab w:leader="none" w:pos="317" w:val="left"/>
        </w:tabs>
        <w:numPr>
          <w:ilvl w:val="0"/>
          <w:numId w:val="99"/>
        </w:numPr>
        <w:rPr>
          <w:rFonts w:ascii="Arial" w:cs="Arial" w:eastAsia="Arial" w:hAnsi="Arial"/>
          <w:sz w:val="16"/>
          <w:szCs w:val="16"/>
          <w:color w:val="auto"/>
        </w:rPr>
      </w:pPr>
      <w:r>
        <w:rPr>
          <w:rFonts w:ascii="Arial" w:cs="Arial" w:eastAsia="Arial" w:hAnsi="Arial"/>
          <w:sz w:val="16"/>
          <w:szCs w:val="16"/>
          <w:color w:val="auto"/>
        </w:rPr>
        <w:t>(Gains)/losses on asset sales and asset impairments, net. Represents cash distributions declared and paid in the period presented.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quarterly financial data in the table above includes the impact of:</w:t>
      </w:r>
    </w:p>
    <w:p>
      <w:pPr>
        <w:spacing w:after="0" w:line="185" w:lineRule="exact"/>
        <w:rPr>
          <w:sz w:val="20"/>
          <w:szCs w:val="20"/>
          <w:color w:val="auto"/>
        </w:rPr>
      </w:pPr>
    </w:p>
    <w:p>
      <w:pPr>
        <w:ind w:left="340" w:hanging="324"/>
        <w:spacing w:after="0" w:line="311" w:lineRule="auto"/>
        <w:tabs>
          <w:tab w:leader="none" w:pos="3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impairments of long-lived assets of $446 million and $95 million in the first and fourth quarter of 2020, respectively, as well as $167 million of non-cash impairments recognized upon classification to assets held for sale during the first quarter of 2020. Such amounts are reflected in “(Gains)/losses on asset sales and asset impairments, net” in our Consolidated Statement of Operations. See Note 6 for additional information;</w:t>
      </w:r>
    </w:p>
    <w:p>
      <w:pPr>
        <w:spacing w:after="0" w:line="121" w:lineRule="exact"/>
        <w:rPr>
          <w:rFonts w:ascii="Arial" w:cs="Arial" w:eastAsia="Arial" w:hAnsi="Arial"/>
          <w:sz w:val="16"/>
          <w:szCs w:val="16"/>
          <w:color w:val="auto"/>
        </w:rPr>
      </w:pPr>
    </w:p>
    <w:p>
      <w:pPr>
        <w:ind w:left="340" w:right="800" w:hanging="324"/>
        <w:spacing w:after="0" w:line="27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goodwill impairment losses of $2.515 billion in the first quarter of 2020, which is reflected in “Goodwill impairment losses” in our Consolidated Statement of Operations. See Note 8 for additional information; and</w:t>
      </w:r>
    </w:p>
    <w:p>
      <w:pPr>
        <w:spacing w:after="0" w:line="129" w:lineRule="exact"/>
        <w:rPr>
          <w:rFonts w:ascii="Arial" w:cs="Arial" w:eastAsia="Arial" w:hAnsi="Arial"/>
          <w:sz w:val="18"/>
          <w:szCs w:val="18"/>
          <w:color w:val="auto"/>
        </w:rPr>
      </w:pPr>
    </w:p>
    <w:p>
      <w:pPr>
        <w:ind w:left="340" w:right="140" w:hanging="324"/>
        <w:spacing w:after="0" w:line="25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other-than-temporary impairments of certain of our investments in unconsolidated entities of $69 million and $91 million in the second and third quarter of 2020, respectively, as well as a write-down of certain of our investments of $43 million in the first quarter of 2020. The first and third quarter of 2019 include a gain on our investment in Capline LLC of $267 million and $2 million, respectively. Such amounts are reflected in “Gain on/(impairment of) investments in unconsolidated entities, net” in our Consolidated Statements of Operations. See Note 9 for additional information.</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3" w:name="page184"/>
    <w:bookmarkEnd w:id="1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21—Operating Segments</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Note 3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4" w:name="page185"/>
    <w:bookmarkEnd w:id="1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24"/>
                <w:szCs w:val="2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Investment and acquisition capital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240" w:hanging="11"/>
        <w:spacing w:after="0" w:line="296" w:lineRule="auto"/>
        <w:rPr>
          <w:sz w:val="20"/>
          <w:szCs w:val="20"/>
          <w:color w:val="auto"/>
        </w:rPr>
      </w:pPr>
      <w:r>
        <w:rPr>
          <w:rFonts w:ascii="Arial" w:cs="Arial" w:eastAsia="Arial" w:hAnsi="Arial"/>
          <w:sz w:val="16"/>
          <w:szCs w:val="16"/>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Consolidated Statements of Operations. This presentation is consistent with the information provided to our CODM.</w:t>
      </w:r>
    </w:p>
    <w:p>
      <w:pPr>
        <w:spacing w:after="0" w:line="53" w:lineRule="exact"/>
        <w:rPr>
          <w:sz w:val="20"/>
          <w:szCs w:val="20"/>
          <w:color w:val="auto"/>
        </w:rPr>
      </w:pPr>
    </w:p>
    <w:p>
      <w:pPr>
        <w:ind w:left="20" w:right="12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acquisition capital expenditures, including investments in unconsolidated entities.</w:t>
      </w:r>
    </w:p>
    <w:p>
      <w:pPr>
        <w:spacing w:after="0" w:line="200" w:lineRule="exact"/>
        <w:rPr>
          <w:sz w:val="20"/>
          <w:szCs w:val="20"/>
          <w:color w:val="auto"/>
        </w:rPr>
      </w:pPr>
    </w:p>
    <w:p>
      <w:pPr>
        <w:sectPr>
          <w:pgSz w:w="11900" w:h="16838" w:orient="portrait"/>
          <w:cols w:equalWidth="0" w:num="2">
            <w:col w:w="140" w:space="500"/>
            <w:col w:w="10540"/>
          </w:cols>
          <w:pgMar w:left="320" w:top="125" w:right="399" w:bottom="1440" w:gutter="0" w:footer="0" w:header="0"/>
          <w:type w:val="continuous"/>
        </w:sect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85" w:name="page186"/>
    <w:bookmarkEnd w:id="1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9"/>
        </w:trPr>
        <w:tc>
          <w:tcPr>
            <w:tcW w:w="6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440" w:type="dxa"/>
            <w:vAlign w:val="bottom"/>
          </w:tcPr>
          <w:p>
            <w:pPr>
              <w:ind w:left="220"/>
              <w:spacing w:after="0" w:line="230" w:lineRule="exact"/>
              <w:rPr>
                <w:sz w:val="20"/>
                <w:szCs w:val="20"/>
                <w:color w:val="auto"/>
              </w:rPr>
            </w:pPr>
            <w:r>
              <w:rPr>
                <w:rFonts w:ascii="Arial" w:cs="Arial" w:eastAsia="Arial" w:hAnsi="Arial"/>
                <w:sz w:val="18"/>
                <w:szCs w:val="18"/>
                <w:color w:val="auto"/>
                <w:w w:val="95"/>
              </w:rPr>
              <w:t xml:space="preserve">Gains/(losses) from derivative activities, net of inventory valuation adjustments </w:t>
            </w:r>
            <w:r>
              <w:rPr>
                <w:rFonts w:ascii="Arial" w:cs="Arial" w:eastAsia="Arial" w:hAnsi="Arial"/>
                <w:sz w:val="23"/>
                <w:szCs w:val="23"/>
                <w:color w:val="auto"/>
                <w:w w:val="95"/>
                <w:vertAlign w:val="superscript"/>
              </w:rPr>
              <w:t>(3)</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6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Income/(loss) before tax</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(income)/loss attributable to noncontrolling interests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Net income/(loss) attributable to PAGP</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ind w:left="20" w:right="2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6" w:name="page187"/>
    <w:bookmarkEnd w:id="1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left="20" w:right="6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62" w:lineRule="exact"/>
        <w:rPr>
          <w:sz w:val="20"/>
          <w:szCs w:val="20"/>
          <w:color w:val="auto"/>
        </w:rPr>
      </w:pPr>
    </w:p>
    <w:p>
      <w:pPr>
        <w:ind w:left="20" w:right="18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7 for additional discussion. An adjustment for these non-recurring expenses is included in the calculation of Segment Adjusted EBITDA for the year ended December 31, 2020 as our CODM does not view such expenses as integral to understanding our core segment operating performance.</w:t>
      </w:r>
    </w:p>
    <w:p>
      <w:pPr>
        <w:spacing w:after="0" w:line="192"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67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8"/>
                <w:szCs w:val="18"/>
                <w:b w:val="1"/>
                <w:bCs w:val="1"/>
                <w:color w:val="auto"/>
                <w:vertAlign w:val="superscript"/>
              </w:rPr>
              <w:t>(1)</w:t>
            </w: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28,362</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w:t>
            </w: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9"/>
        </w:trPr>
        <w:tc>
          <w:tcPr>
            <w:tcW w:w="824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18"/>
                <w:szCs w:val="18"/>
                <w:b w:val="1"/>
                <w:bCs w:val="1"/>
                <w:color w:val="auto"/>
                <w:vertAlign w:val="superscript"/>
              </w:rPr>
              <w:t>(1)</w:t>
            </w: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2885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 long-term deferred tax assets and goodwill.</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90" w:lineRule="exact"/>
        <w:rPr>
          <w:rFonts w:ascii="Arial" w:cs="Arial" w:eastAsia="Arial" w:hAnsi="Arial"/>
          <w:sz w:val="23"/>
          <w:szCs w:val="23"/>
          <w:color w:val="auto"/>
          <w:vertAlign w:val="superscript"/>
        </w:rPr>
      </w:pPr>
    </w:p>
    <w:p>
      <w:pPr>
        <w:ind w:left="5460"/>
        <w:spacing w:after="0"/>
        <w:rPr>
          <w:rFonts w:ascii="Arial" w:cs="Arial" w:eastAsia="Arial" w:hAnsi="Arial"/>
          <w:sz w:val="23"/>
          <w:szCs w:val="23"/>
          <w:color w:val="auto"/>
          <w:vertAlign w:val="superscript"/>
        </w:rPr>
      </w:pPr>
      <w:r>
        <w:rPr>
          <w:rFonts w:ascii="Arial" w:cs="Arial" w:eastAsia="Arial" w:hAnsi="Arial"/>
          <w:sz w:val="18"/>
          <w:szCs w:val="18"/>
          <w:color w:val="auto"/>
        </w:rPr>
        <w:t>F-66</w:t>
      </w:r>
    </w:p>
    <w:p>
      <w:pPr>
        <w:sectPr>
          <w:pgSz w:w="11900" w:h="16838" w:orient="portrait"/>
          <w:cols w:equalWidth="0" w:num="1">
            <w:col w:w="11220"/>
          </w:cols>
          <w:pgMar w:left="320" w:top="125" w:right="35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0"/>
          <w:szCs w:val="20"/>
          <w:color w:val="auto"/>
        </w:rPr>
      </w:pPr>
    </w:p>
    <w:p>
      <w:pPr>
        <w:jc w:val="both"/>
        <w:ind w:right="140" w:firstLine="324"/>
        <w:spacing w:after="0" w:line="248" w:lineRule="auto"/>
        <w:rPr>
          <w:sz w:val="20"/>
          <w:szCs w:val="20"/>
          <w:color w:val="auto"/>
        </w:rPr>
      </w:pPr>
      <w:r>
        <w:rPr>
          <w:rFonts w:ascii="Arial" w:cs="Arial" w:eastAsia="Arial" w:hAnsi="Arial"/>
          <w:sz w:val="18"/>
          <w:szCs w:val="18"/>
          <w:color w:val="auto"/>
        </w:rPr>
        <w:t>As of December 31, 2020, Plains GP Holdings, L.P. has one class of securities registered under Section 12 of the Securities Exchange Act of 1934, as amended (the “Exchange Act”): its Class A shares representing limited partner interests, which are described in this Exhibit. The following definitions are used in this Exhibit:</w:t>
      </w:r>
    </w:p>
    <w:p>
      <w:pPr>
        <w:spacing w:after="0" w:line="209" w:lineRule="exact"/>
        <w:rPr>
          <w:sz w:val="20"/>
          <w:szCs w:val="20"/>
          <w:color w:val="auto"/>
        </w:rPr>
      </w:pPr>
    </w:p>
    <w:p>
      <w:pPr>
        <w:ind w:left="660" w:right="300" w:hanging="328"/>
        <w:spacing w:after="0" w:line="262" w:lineRule="auto"/>
        <w:tabs>
          <w:tab w:leader="none" w:pos="7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9" w:lineRule="exact"/>
        <w:rPr>
          <w:rFonts w:ascii="Arial" w:cs="Arial" w:eastAsia="Arial" w:hAnsi="Arial"/>
          <w:sz w:val="17"/>
          <w:szCs w:val="17"/>
          <w:color w:val="auto"/>
        </w:rPr>
      </w:pPr>
    </w:p>
    <w:p>
      <w:pPr>
        <w:ind w:left="660" w:right="640" w:hanging="328"/>
        <w:spacing w:after="0" w:line="261"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“PAA” refers to Plains All American Pipeline, L.P. (Nasdaq: PAA), individually, or to Plains All American Pipeline, L.P. and its operating subsidiaries collectively, as the context requires;</w:t>
      </w:r>
    </w:p>
    <w:p>
      <w:pPr>
        <w:spacing w:after="0" w:line="197" w:lineRule="exact"/>
        <w:rPr>
          <w:rFonts w:ascii="Arial" w:cs="Arial" w:eastAsia="Arial" w:hAnsi="Arial"/>
          <w:sz w:val="18"/>
          <w:szCs w:val="18"/>
          <w:color w:val="auto"/>
        </w:rPr>
      </w:pPr>
    </w:p>
    <w:p>
      <w:pPr>
        <w:ind w:left="700" w:hanging="368"/>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“PAA GP” refers to PAA GP LLC, the general partner of PAA;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“general partner” refers to PAA GP Holdings LLC;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our “partnership agreement” refers to the Second Amended and Restated Agreement of Limited Partnership of Plains GP Holdings, L.P.;</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“Legacy Owners” refers to owners of AAP immediately prior to our initial public offering (our “IPO”);</w:t>
      </w:r>
    </w:p>
    <w:p>
      <w:pPr>
        <w:spacing w:after="0" w:line="238" w:lineRule="exact"/>
        <w:rPr>
          <w:rFonts w:ascii="Arial" w:cs="Arial" w:eastAsia="Arial" w:hAnsi="Arial"/>
          <w:sz w:val="18"/>
          <w:szCs w:val="18"/>
          <w:color w:val="auto"/>
        </w:rPr>
      </w:pPr>
    </w:p>
    <w:p>
      <w:pPr>
        <w:jc w:val="both"/>
        <w:ind w:left="660" w:right="320" w:hanging="328"/>
        <w:spacing w:after="0" w:line="248"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208" w:lineRule="exact"/>
        <w:rPr>
          <w:rFonts w:ascii="Arial" w:cs="Arial" w:eastAsia="Arial" w:hAnsi="Arial"/>
          <w:sz w:val="18"/>
          <w:szCs w:val="18"/>
          <w:color w:val="auto"/>
        </w:rPr>
      </w:pPr>
    </w:p>
    <w:p>
      <w:pPr>
        <w:ind w:left="660" w:right="40" w:hanging="328"/>
        <w:spacing w:after="0"/>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ectPr>
          <w:pgSz w:w="11900" w:h="16838" w:orient="portrait"/>
          <w:cols w:equalWidth="0" w:num="1">
            <w:col w:w="11240"/>
          </w:cols>
          <w:pgMar w:left="320" w:top="126" w:right="33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DESCRIPTION OF OUR SHARES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23"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a non-economic interest and provide a pass-through voting mechanism through which PAA, as the sole holder of the Class C shares, votes at the direction and on behalf of PAA common and Series A preferred unitholders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“Description of Our Partnership Agreement.”</w:t>
      </w:r>
    </w:p>
    <w:p>
      <w:pPr>
        <w:spacing w:after="0" w:line="207"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Our Class A shares are listed on the Nasdaq Global Select Market under the symbol “PAGP”; we do not intend to list the Class B shares or the Class C shares on any stock exchange. All of our Class B shares are owned by the Legacy Owners, including holders of Class B units of AAP (the “AAP management units”) who have exchanged such AAP management units for AAP Class A units and a like number of Class B shares, or their permitted transferees. All of the Class C shares are owned by PAA.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4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for Class A shares at an exchange ratio of one Class A share for each AAP Class A unit exchanged. The Exchange Right may be exercised only if, simultaneously therewith, an equal number of our Class B shares and general partner units are transferred by the exercising party to us.</w:t>
      </w:r>
    </w:p>
    <w:p>
      <w:pPr>
        <w:spacing w:after="0" w:line="174" w:lineRule="exact"/>
        <w:rPr>
          <w:sz w:val="20"/>
          <w:szCs w:val="20"/>
          <w:color w:val="auto"/>
        </w:rPr>
      </w:pPr>
    </w:p>
    <w:p>
      <w:pPr>
        <w:jc w:val="both"/>
        <w:ind w:right="120" w:firstLine="324"/>
        <w:spacing w:after="0" w:line="243" w:lineRule="auto"/>
        <w:rPr>
          <w:sz w:val="20"/>
          <w:szCs w:val="20"/>
          <w:color w:val="auto"/>
        </w:rPr>
      </w:pPr>
      <w:r>
        <w:rPr>
          <w:rFonts w:ascii="Arial" w:cs="Arial" w:eastAsia="Arial" w:hAnsi="Arial"/>
          <w:sz w:val="18"/>
          <w:szCs w:val="18"/>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21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7"/>
          <w:szCs w:val="17"/>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43"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9"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automatically agrees to be bound by the terms and conditions of, and is deemed to have executed, our partnership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189" w:name="page190"/>
    <w:bookmarkEnd w:id="189"/>
    <w:p>
      <w:pPr>
        <w:spacing w:after="0" w:line="225"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39" w:lineRule="exact"/>
        <w:rPr>
          <w:sz w:val="20"/>
          <w:szCs w:val="20"/>
          <w:color w:val="auto"/>
        </w:rPr>
      </w:pPr>
    </w:p>
    <w:p>
      <w:pPr>
        <w:ind w:right="420" w:firstLine="324"/>
        <w:spacing w:after="0" w:line="291" w:lineRule="auto"/>
        <w:rPr>
          <w:sz w:val="20"/>
          <w:szCs w:val="20"/>
          <w:color w:val="auto"/>
        </w:rPr>
      </w:pPr>
      <w:r>
        <w:rPr>
          <w:rFonts w:ascii="Arial" w:cs="Arial" w:eastAsia="Arial" w:hAnsi="Arial"/>
          <w:sz w:val="17"/>
          <w:szCs w:val="17"/>
          <w:color w:val="auto"/>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spacing w:after="0" w:line="174"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51" w:lineRule="exact"/>
        <w:rPr>
          <w:sz w:val="20"/>
          <w:szCs w:val="20"/>
          <w:color w:val="auto"/>
        </w:rPr>
      </w:pPr>
    </w:p>
    <w:p>
      <w:pPr>
        <w:ind w:right="140" w:firstLine="324"/>
        <w:spacing w:after="0" w:line="324" w:lineRule="auto"/>
        <w:rPr>
          <w:sz w:val="20"/>
          <w:szCs w:val="20"/>
          <w:color w:val="auto"/>
        </w:rPr>
      </w:pPr>
      <w:r>
        <w:rPr>
          <w:rFonts w:ascii="Arial" w:cs="Arial" w:eastAsia="Arial" w:hAnsi="Arial"/>
          <w:sz w:val="16"/>
          <w:szCs w:val="16"/>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51" w:lineRule="exact"/>
        <w:rPr>
          <w:sz w:val="20"/>
          <w:szCs w:val="20"/>
          <w:color w:val="auto"/>
        </w:rPr>
      </w:pPr>
    </w:p>
    <w:p>
      <w:pPr>
        <w:ind w:right="260" w:firstLine="324"/>
        <w:spacing w:after="0" w:line="324"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51"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43"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98"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9"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ind w:left="660" w:right="280" w:hanging="328"/>
        <w:spacing w:after="0" w:line="234"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“The Partnership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43"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6"/>
          <w:szCs w:val="16"/>
          <w:color w:val="auto"/>
        </w:rPr>
        <w:t>Our principal sources of cash flow are derived from our indirect investment in PAA through our ownership of limited partner interests in AAP, which owns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4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200" w:lineRule="exact"/>
        <w:rPr>
          <w:sz w:val="20"/>
          <w:szCs w:val="20"/>
          <w:color w:val="auto"/>
        </w:rPr>
      </w:pPr>
    </w:p>
    <w:p>
      <w:pPr>
        <w:spacing w:after="0" w:line="24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98"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16"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11" w:lineRule="exact"/>
        <w:rPr>
          <w:rFonts w:ascii="Arial" w:cs="Arial" w:eastAsia="Arial" w:hAnsi="Arial"/>
          <w:sz w:val="18"/>
          <w:szCs w:val="18"/>
          <w:color w:val="auto"/>
        </w:rPr>
      </w:pPr>
    </w:p>
    <w:p>
      <w:pPr>
        <w:ind w:left="660" w:right="760" w:hanging="328"/>
        <w:spacing w:after="0" w:line="234"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ind w:left="660" w:hanging="328"/>
        <w:spacing w:after="0" w:line="23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distribution of our cash;</w:t>
      </w:r>
    </w:p>
    <w:p>
      <w:pPr>
        <w:ind w:left="660" w:right="60" w:hanging="328"/>
        <w:spacing w:after="0" w:line="234"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50" w:lineRule="exact"/>
        <w:rPr>
          <w:sz w:val="20"/>
          <w:szCs w:val="20"/>
          <w:color w:val="auto"/>
        </w:rPr>
      </w:pPr>
    </w:p>
    <w:p>
      <w:pPr>
        <w:ind w:left="660" w:right="40" w:hanging="328"/>
        <w:spacing w:after="0"/>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ind w:left="660" w:hanging="328"/>
        <w:spacing w:after="0" w:line="234"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43"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15"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17" w:right="359" w:bottom="1440" w:gutter="0" w:footer="0" w:header="0"/>
        </w:sectPr>
      </w:pPr>
    </w:p>
    <w:bookmarkStart w:id="192" w:name="page193"/>
    <w:bookmarkEnd w:id="192"/>
    <w:p>
      <w:pPr>
        <w:ind w:right="20" w:firstLine="324"/>
        <w:spacing w:after="0" w:line="271"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96"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43" w:lineRule="exact"/>
        <w:rPr>
          <w:sz w:val="20"/>
          <w:szCs w:val="20"/>
          <w:color w:val="auto"/>
        </w:rPr>
      </w:pPr>
    </w:p>
    <w:p>
      <w:pPr>
        <w:ind w:right="300" w:firstLine="324"/>
        <w:spacing w:after="0" w:line="248" w:lineRule="auto"/>
        <w:rPr>
          <w:sz w:val="20"/>
          <w:szCs w:val="20"/>
          <w:color w:val="auto"/>
        </w:rPr>
      </w:pPr>
      <w:r>
        <w:rPr>
          <w:rFonts w:ascii="Arial" w:cs="Arial" w:eastAsia="Arial" w:hAnsi="Arial"/>
          <w:sz w:val="18"/>
          <w:szCs w:val="18"/>
          <w:color w:val="auto"/>
        </w:rPr>
        <w:t>Our general partner manages us and our operations. Our shareholders will have only limited voting rights on matters affecting our business. Our shareholders will not have the right to elect our general partner or, except as described below under “—Public Election of Directors,” its directors on an annual or other continuing basis.</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Class C shares are only entitled to vote on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On such matters, PAA votes the Class C shares on behalf of, and as instructed by, the PAA common and Series A preferred unitholders. Because of the limited voting rights of our Class C shares,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21" w:right="359" w:bottom="1440" w:gutter="0" w:footer="0" w:header="0"/>
        </w:sectPr>
      </w:pPr>
    </w:p>
    <w:bookmarkStart w:id="193" w:name="page194"/>
    <w:bookmarkEnd w:id="193"/>
    <w:p>
      <w:pPr>
        <w:ind w:firstLine="324"/>
        <w:spacing w:after="0" w:line="276"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sectPr>
          <w:pgSz w:w="11900" w:h="16838" w:orient="portrait"/>
          <w:cols w:equalWidth="0" w:num="1">
            <w:col w:w="11180"/>
          </w:cols>
          <w:pgMar w:left="320" w:top="1421" w:right="399" w:bottom="1440" w:gutter="0" w:footer="0" w:header="0"/>
        </w:sectPr>
      </w:pPr>
    </w:p>
    <w:p>
      <w:pPr>
        <w:spacing w:after="0" w:line="243" w:lineRule="exact"/>
        <w:rPr>
          <w:sz w:val="20"/>
          <w:szCs w:val="20"/>
          <w:color w:val="auto"/>
        </w:rPr>
      </w:pPr>
    </w:p>
    <w:p>
      <w:pPr>
        <w:ind w:left="20" w:right="140"/>
        <w:spacing w:after="0" w:line="261" w:lineRule="auto"/>
        <w:rPr>
          <w:sz w:val="20"/>
          <w:szCs w:val="20"/>
          <w:color w:val="auto"/>
        </w:rPr>
      </w:pPr>
      <w:r>
        <w:rPr>
          <w:rFonts w:ascii="Arial" w:cs="Arial" w:eastAsia="Arial" w:hAnsi="Arial"/>
          <w:sz w:val="18"/>
          <w:szCs w:val="18"/>
          <w:color w:val="auto"/>
        </w:rPr>
        <w:t>Issuance of additional shares (or other partnership securities)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w:t>
      </w:r>
    </w:p>
    <w:p>
      <w:pPr>
        <w:spacing w:after="0" w:line="466"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Amendment of our partnership agreement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(including under certain circumstances, our Class C shares). Please read “—Amendments to Our Partnership Agreement.”</w:t>
      </w:r>
    </w:p>
    <w:p>
      <w:pPr>
        <w:spacing w:after="0" w:line="200"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82"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 majority of our outstanding shares in certain circumstances. Please read “—Merger, Sale or Other Disposition of Assets.”</w:t>
      </w:r>
    </w:p>
    <w:p>
      <w:pPr>
        <w:spacing w:after="0" w:line="200" w:lineRule="exact"/>
        <w:rPr>
          <w:sz w:val="20"/>
          <w:szCs w:val="20"/>
          <w:color w:val="auto"/>
        </w:rPr>
      </w:pPr>
    </w:p>
    <w:p>
      <w:pPr>
        <w:sectPr>
          <w:pgSz w:w="11900" w:h="16838" w:orient="portrait"/>
          <w:cols w:equalWidth="0" w:num="2">
            <w:col w:w="4240" w:space="240"/>
            <w:col w:w="6700"/>
          </w:cols>
          <w:pgMar w:left="320" w:top="1421" w:right="39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Dissolution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Please read “—Termination or Dissolution.”</w:t>
      </w:r>
    </w:p>
    <w:p>
      <w:pPr>
        <w:spacing w:after="0" w:line="211"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Reconstitution upon dissolution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Please read “—Termination or Dissolution.”</w:t>
      </w:r>
    </w:p>
    <w:p>
      <w:pPr>
        <w:spacing w:after="0" w:line="200"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1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Withdrawal of our general partner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 Please read “—Withdrawal or Removal of the General Partner.”</w:t>
      </w:r>
    </w:p>
    <w:p>
      <w:pPr>
        <w:spacing w:after="0" w:line="200"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1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Not less than 66 2/3% of our outstanding shares, including shares held by our general partner, the Legacy Owners and their respective affiliates. Please read “—Withdrawal or Removal of the General Partner.”</w:t>
      </w:r>
    </w:p>
    <w:p>
      <w:pPr>
        <w:spacing w:after="0" w:line="200"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 of the general partner interest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w:t>
      </w:r>
    </w:p>
    <w:p>
      <w:pPr>
        <w:spacing w:after="0" w:line="200" w:lineRule="exact"/>
        <w:rPr>
          <w:sz w:val="20"/>
          <w:szCs w:val="20"/>
          <w:color w:val="auto"/>
        </w:rPr>
      </w:pPr>
    </w:p>
    <w:p>
      <w:pPr>
        <w:sectPr>
          <w:pgSz w:w="11900" w:h="16838" w:orient="portrait"/>
          <w:cols w:equalWidth="0" w:num="2">
            <w:col w:w="3760" w:space="720"/>
            <w:col w:w="6700"/>
          </w:cols>
          <w:pgMar w:left="320" w:top="1421" w:right="399"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43" w:lineRule="exact"/>
        <w:rPr>
          <w:sz w:val="20"/>
          <w:szCs w:val="20"/>
          <w:color w:val="auto"/>
        </w:rPr>
      </w:pPr>
    </w:p>
    <w:p>
      <w:pPr>
        <w:ind w:right="620" w:firstLine="324"/>
        <w:spacing w:after="0" w:line="324"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51"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21" w:right="399" w:bottom="1440" w:gutter="0" w:footer="0" w:header="0"/>
          <w:type w:val="continuous"/>
        </w:sectPr>
      </w:pPr>
    </w:p>
    <w:bookmarkStart w:id="194" w:name="page195"/>
    <w:bookmarkEnd w:id="194"/>
    <w:p>
      <w:pPr>
        <w:ind w:right="60" w:firstLine="324"/>
        <w:spacing w:after="0" w:line="261"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660" w:right="260" w:hanging="328"/>
        <w:spacing w:after="0" w:line="261" w:lineRule="auto"/>
        <w:tabs>
          <w:tab w:leader="none" w:pos="65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197" w:lineRule="exact"/>
        <w:rPr>
          <w:rFonts w:ascii="Arial" w:cs="Arial" w:eastAsia="Arial" w:hAnsi="Arial"/>
          <w:sz w:val="18"/>
          <w:szCs w:val="18"/>
          <w:color w:val="auto"/>
        </w:rPr>
      </w:pPr>
    </w:p>
    <w:p>
      <w:pPr>
        <w:ind w:left="660" w:hanging="328"/>
        <w:spacing w:after="0" w:line="248" w:lineRule="auto"/>
        <w:tabs>
          <w:tab w:leader="none" w:pos="65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209"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640" w:hanging="308"/>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660" w:right="180" w:hanging="328"/>
        <w:spacing w:after="0" w:line="261" w:lineRule="auto"/>
        <w:tabs>
          <w:tab w:leader="none" w:pos="5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97" w:lineRule="exact"/>
        <w:rPr>
          <w:rFonts w:ascii="Arial" w:cs="Arial" w:eastAsia="Arial" w:hAnsi="Arial"/>
          <w:sz w:val="18"/>
          <w:szCs w:val="18"/>
          <w:color w:val="auto"/>
        </w:rPr>
      </w:pPr>
    </w:p>
    <w:p>
      <w:pPr>
        <w:ind w:left="660" w:right="60" w:hanging="328"/>
        <w:spacing w:after="0" w:line="243" w:lineRule="auto"/>
        <w:tabs>
          <w:tab w:leader="none" w:pos="5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214" w:lineRule="exact"/>
        <w:rPr>
          <w:rFonts w:ascii="Arial" w:cs="Arial" w:eastAsia="Arial" w:hAnsi="Arial"/>
          <w:sz w:val="18"/>
          <w:szCs w:val="18"/>
          <w:color w:val="auto"/>
        </w:rPr>
      </w:pPr>
    </w:p>
    <w:p>
      <w:pPr>
        <w:ind w:left="660" w:right="100" w:hanging="328"/>
        <w:spacing w:after="0" w:line="261" w:lineRule="auto"/>
        <w:tabs>
          <w:tab w:leader="none" w:pos="5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21" w:right="379" w:bottom="1440" w:gutter="0" w:footer="0" w:header="0"/>
        </w:sectPr>
      </w:pPr>
    </w:p>
    <w:bookmarkStart w:id="195" w:name="page196"/>
    <w:bookmarkEnd w:id="195"/>
    <w:p>
      <w:pPr>
        <w:spacing w:after="0" w:line="225" w:lineRule="exact"/>
        <w:rPr>
          <w:sz w:val="20"/>
          <w:szCs w:val="20"/>
          <w:color w:val="auto"/>
        </w:rPr>
      </w:pPr>
    </w:p>
    <w:p>
      <w:pPr>
        <w:ind w:left="580" w:hanging="248"/>
        <w:spacing w:after="0"/>
        <w:tabs>
          <w:tab w:leader="none" w:pos="5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partnership agreement;</w:t>
      </w:r>
    </w:p>
    <w:p>
      <w:pPr>
        <w:spacing w:after="0" w:line="261" w:lineRule="exact"/>
        <w:rPr>
          <w:rFonts w:ascii="Arial" w:cs="Arial" w:eastAsia="Arial" w:hAnsi="Arial"/>
          <w:sz w:val="16"/>
          <w:szCs w:val="16"/>
          <w:color w:val="auto"/>
        </w:rPr>
      </w:pPr>
    </w:p>
    <w:p>
      <w:pPr>
        <w:ind w:left="660" w:right="320" w:hanging="328"/>
        <w:spacing w:after="0" w:line="261" w:lineRule="auto"/>
        <w:tabs>
          <w:tab w:leader="none" w:pos="5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660" w:right="40" w:hanging="328"/>
        <w:spacing w:after="0" w:line="248" w:lineRule="auto"/>
        <w:tabs>
          <w:tab w:leader="none" w:pos="6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8" w:lineRule="exact"/>
        <w:rPr>
          <w:rFonts w:ascii="Arial" w:cs="Arial" w:eastAsia="Arial" w:hAnsi="Arial"/>
          <w:sz w:val="18"/>
          <w:szCs w:val="18"/>
          <w:color w:val="auto"/>
        </w:rPr>
      </w:pPr>
    </w:p>
    <w:p>
      <w:pPr>
        <w:jc w:val="both"/>
        <w:ind w:left="660" w:right="120" w:hanging="328"/>
        <w:spacing w:after="0" w:line="248" w:lineRule="auto"/>
        <w:tabs>
          <w:tab w:leader="none" w:pos="6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08" w:lineRule="exact"/>
        <w:rPr>
          <w:rFonts w:ascii="Arial" w:cs="Arial" w:eastAsia="Arial" w:hAnsi="Arial"/>
          <w:sz w:val="18"/>
          <w:szCs w:val="18"/>
          <w:color w:val="auto"/>
        </w:rPr>
      </w:pPr>
    </w:p>
    <w:p>
      <w:pPr>
        <w:ind w:left="680" w:hanging="348"/>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39"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8" w:lineRule="exact"/>
        <w:rPr>
          <w:sz w:val="20"/>
          <w:szCs w:val="20"/>
          <w:color w:val="auto"/>
        </w:rPr>
      </w:pPr>
    </w:p>
    <w:p>
      <w:pPr>
        <w:ind w:left="660" w:right="280" w:hanging="328"/>
        <w:spacing w:after="0" w:line="261" w:lineRule="auto"/>
        <w:tabs>
          <w:tab w:leader="none" w:pos="5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7" w:lineRule="exact"/>
        <w:rPr>
          <w:rFonts w:ascii="Arial" w:cs="Arial" w:eastAsia="Arial" w:hAnsi="Arial"/>
          <w:sz w:val="18"/>
          <w:szCs w:val="18"/>
          <w:color w:val="auto"/>
        </w:rPr>
      </w:pPr>
    </w:p>
    <w:p>
      <w:pPr>
        <w:ind w:left="660" w:right="120" w:hanging="328"/>
        <w:spacing w:after="0" w:line="261" w:lineRule="auto"/>
        <w:tabs>
          <w:tab w:leader="none" w:pos="5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97" w:lineRule="exact"/>
        <w:rPr>
          <w:rFonts w:ascii="Arial" w:cs="Arial" w:eastAsia="Arial" w:hAnsi="Arial"/>
          <w:sz w:val="18"/>
          <w:szCs w:val="18"/>
          <w:color w:val="auto"/>
        </w:rPr>
      </w:pPr>
    </w:p>
    <w:p>
      <w:pPr>
        <w:ind w:left="660" w:right="100" w:hanging="328"/>
        <w:spacing w:after="0" w:line="261" w:lineRule="auto"/>
        <w:tabs>
          <w:tab w:leader="none" w:pos="5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7" w:lineRule="exact"/>
        <w:rPr>
          <w:rFonts w:ascii="Arial" w:cs="Arial" w:eastAsia="Arial" w:hAnsi="Arial"/>
          <w:sz w:val="18"/>
          <w:szCs w:val="18"/>
          <w:color w:val="auto"/>
        </w:rPr>
      </w:pPr>
    </w:p>
    <w:p>
      <w:pPr>
        <w:ind w:left="660" w:right="420" w:hanging="328"/>
        <w:spacing w:after="0" w:line="261" w:lineRule="auto"/>
        <w:tabs>
          <w:tab w:leader="none" w:pos="5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 or</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are required to effect the intent of the provisions of our partnership agreement or as are otherwise contemplated by our partnership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39"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215" w:lineRule="exact"/>
        <w:rPr>
          <w:sz w:val="20"/>
          <w:szCs w:val="20"/>
          <w:color w:val="auto"/>
        </w:rPr>
      </w:pPr>
    </w:p>
    <w:p>
      <w:pPr>
        <w:ind w:right="240" w:firstLine="324"/>
        <w:spacing w:after="0" w:line="262"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43"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2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201"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580" w:hanging="248"/>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38" w:lineRule="exact"/>
        <w:rPr>
          <w:rFonts w:ascii="Arial" w:cs="Arial" w:eastAsia="Arial" w:hAnsi="Arial"/>
          <w:sz w:val="18"/>
          <w:szCs w:val="18"/>
          <w:color w:val="auto"/>
        </w:rPr>
      </w:pPr>
    </w:p>
    <w:p>
      <w:pPr>
        <w:ind w:left="580" w:hanging="248"/>
        <w:spacing w:after="0"/>
        <w:tabs>
          <w:tab w:leader="none" w:pos="5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there being no holders of partnership interests, unless we are continued without dissolution in accordance with applicable Delaware law;</w:t>
      </w:r>
    </w:p>
    <w:p>
      <w:pPr>
        <w:spacing w:after="0" w:line="250" w:lineRule="exact"/>
        <w:rPr>
          <w:rFonts w:ascii="Arial" w:cs="Arial" w:eastAsia="Arial" w:hAnsi="Arial"/>
          <w:sz w:val="17"/>
          <w:szCs w:val="17"/>
          <w:color w:val="auto"/>
        </w:rPr>
      </w:pPr>
    </w:p>
    <w:p>
      <w:pPr>
        <w:ind w:left="580" w:hanging="248"/>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660" w:right="300" w:hanging="328"/>
        <w:spacing w:after="0" w:line="248" w:lineRule="auto"/>
        <w:tabs>
          <w:tab w:leader="none" w:pos="5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209"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43"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9"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1200"/>
          </w:cols>
          <w:pgMar w:left="320" w:top="1417" w:right="379" w:bottom="1440" w:gutter="0" w:footer="0" w:header="0"/>
        </w:sectPr>
      </w:pPr>
    </w:p>
    <w:bookmarkStart w:id="197" w:name="page198"/>
    <w:bookmarkEnd w:id="197"/>
    <w:p>
      <w:pPr>
        <w:spacing w:after="0" w:line="225"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39" w:lineRule="exact"/>
        <w:rPr>
          <w:sz w:val="20"/>
          <w:szCs w:val="20"/>
          <w:color w:val="auto"/>
        </w:rPr>
      </w:pPr>
    </w:p>
    <w:p>
      <w:pPr>
        <w:ind w:right="20" w:firstLine="324"/>
        <w:spacing w:after="0" w:line="324"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43"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9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7"/>
          <w:szCs w:val="17"/>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99"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 1/3% of our outstanding shares by any person or group would give such persons the practical ability to prevent our general partner’s removal.</w:t>
      </w:r>
    </w:p>
    <w:p>
      <w:pPr>
        <w:spacing w:after="0" w:line="216"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43"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w:t>
      </w:r>
    </w:p>
    <w:p>
      <w:pPr>
        <w:spacing w:after="0" w:line="1" w:lineRule="exact"/>
        <w:rPr>
          <w:sz w:val="20"/>
          <w:szCs w:val="20"/>
          <w:color w:val="auto"/>
        </w:rPr>
      </w:pPr>
    </w:p>
    <w:p>
      <w:pPr>
        <w:ind w:right="340" w:firstLine="8"/>
        <w:spacing w:after="0" w:line="243" w:lineRule="auto"/>
        <w:tabs>
          <w:tab w:leader="none" w:pos="2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transferees that acquired the shares from a person or group described in clause (i), or (iii) any person or group that acquires 20% of any class of shares with the prior approval of the board of directors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Limited Call Right</w:t>
      </w:r>
    </w:p>
    <w:p>
      <w:pPr>
        <w:spacing w:after="0" w:line="243" w:lineRule="exact"/>
        <w:rPr>
          <w:sz w:val="20"/>
          <w:szCs w:val="20"/>
          <w:color w:val="auto"/>
        </w:rPr>
      </w:pPr>
    </w:p>
    <w:p>
      <w:pPr>
        <w:ind w:right="60" w:firstLine="324"/>
        <w:spacing w:after="0" w:line="239" w:lineRule="auto"/>
        <w:rPr>
          <w:sz w:val="20"/>
          <w:szCs w:val="20"/>
          <w:color w:val="auto"/>
        </w:rPr>
      </w:pPr>
      <w:r>
        <w:rPr>
          <w:rFonts w:ascii="Arial" w:cs="Arial" w:eastAsia="Arial" w:hAnsi="Arial"/>
          <w:sz w:val="18"/>
          <w:szCs w:val="18"/>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218"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4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Subject to limited exceptions, PAGP GP’s Third Amended and Restated Limited Liability Company Agreement (as amended, the “PAGP GP LLC Agreement”) provides that the Board will consist of up to 13 members, including the CEO and, based on current ownership levels, up to two designated directors. In addition, if PAA fails to make three distributions on its Series A preferred units (whether or not consecutive), the holders of PAA’s Series A preferred units will have the right to appoint a new member of the Board to serve until such time as all accrued and unpaid distributions on such Series A preferred units have been paid in full.</w:t>
      </w:r>
    </w:p>
    <w:p>
      <w:pPr>
        <w:spacing w:after="0" w:line="216"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The Board is divided into three staggered classes.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of directors of our general partner to fill a vacancy, that director will have the same remaining term as his or her predecessor.</w:t>
      </w:r>
    </w:p>
    <w:p>
      <w:pPr>
        <w:spacing w:after="0" w:line="215"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 xml:space="preserve">We hold annual shareholder meetings for the purpose of electing eligible directors. Voting at any such shareholder meetings will be non-cumulative. The presence in person or by proxy of the holders of a majority of our outstanding Class A shares, Class B shares and Class C shares, voting together as a single class, will constitute a quorum;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19.9% of the outstanding Class A shares, Class B shares and Class C shares beneficially owned by a greater than 20% owner will be counted for purposes of determining a quorum for the election of our general partner’s board of directors. Directors will be elected by a plurality of the votes cast.</w:t>
      </w:r>
    </w:p>
    <w:p>
      <w:pPr>
        <w:spacing w:after="0" w:line="216"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218" w:lineRule="exact"/>
        <w:rPr>
          <w:sz w:val="20"/>
          <w:szCs w:val="20"/>
          <w:color w:val="auto"/>
        </w:rPr>
      </w:pPr>
    </w:p>
    <w:p>
      <w:pPr>
        <w:ind w:right="60" w:firstLine="324"/>
        <w:spacing w:after="0" w:line="262" w:lineRule="auto"/>
        <w:rPr>
          <w:sz w:val="20"/>
          <w:szCs w:val="20"/>
          <w:color w:val="auto"/>
        </w:rPr>
      </w:pPr>
      <w:r>
        <w:rPr>
          <w:rFonts w:ascii="Arial" w:cs="Arial" w:eastAsia="Arial" w:hAnsi="Arial"/>
          <w:sz w:val="17"/>
          <w:szCs w:val="17"/>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199" w:name="page200"/>
    <w:bookmarkEnd w:id="199"/>
    <w:p>
      <w:pPr>
        <w:spacing w:after="0" w:line="225" w:lineRule="exact"/>
        <w:rPr>
          <w:sz w:val="20"/>
          <w:szCs w:val="20"/>
          <w:color w:val="auto"/>
        </w:rPr>
      </w:pPr>
    </w:p>
    <w:p>
      <w:pPr>
        <w:ind w:right="180" w:firstLine="324"/>
        <w:spacing w:after="0" w:line="243"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215" w:lineRule="exact"/>
        <w:rPr>
          <w:sz w:val="20"/>
          <w:szCs w:val="20"/>
          <w:color w:val="auto"/>
        </w:rPr>
      </w:pPr>
    </w:p>
    <w:p>
      <w:pPr>
        <w:ind w:right="20" w:firstLine="324"/>
        <w:spacing w:after="0" w:line="254" w:lineRule="auto"/>
        <w:rPr>
          <w:sz w:val="20"/>
          <w:szCs w:val="20"/>
          <w:color w:val="auto"/>
        </w:rPr>
      </w:pPr>
      <w:r>
        <w:rPr>
          <w:rFonts w:ascii="Arial" w:cs="Arial" w:eastAsia="Arial" w:hAnsi="Arial"/>
          <w:sz w:val="17"/>
          <w:szCs w:val="17"/>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If each designating party’s ownership of limited partner interests in AAP falls below the minimum ownership requirement, then all of our directors (other than any director who is currently serving (or who has served in the last three years) as an officer or employee of GP LLC and any director subject to appointment by the holders of PAA’s Series A preferred units) will become subject to election by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43"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43"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t>Exhibit 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2117090" cy="6083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0">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SPECIAL RETENTION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LTIP GRANT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20,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[LTIPs]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2" w:lineRule="exact"/>
        <w:rPr>
          <w:sz w:val="20"/>
          <w:szCs w:val="20"/>
          <w:color w:val="auto"/>
        </w:rPr>
      </w:pPr>
    </w:p>
    <w:p>
      <w:pPr>
        <w:ind w:left="980" w:hanging="324"/>
        <w:spacing w:after="0" w:line="251" w:lineRule="auto"/>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as follows:</w:t>
      </w:r>
    </w:p>
    <w:p>
      <w:pPr>
        <w:spacing w:after="0" w:line="1" w:lineRule="exact"/>
        <w:rPr>
          <w:rFonts w:ascii="Arial" w:cs="Arial" w:eastAsia="Arial" w:hAnsi="Arial"/>
          <w:sz w:val="22"/>
          <w:szCs w:val="22"/>
          <w:color w:val="auto"/>
        </w:rPr>
      </w:pPr>
    </w:p>
    <w:p>
      <w:pPr>
        <w:ind w:left="1620" w:right="20" w:hanging="316"/>
        <w:spacing w:after="0" w:line="243" w:lineRule="auto"/>
        <w:tabs>
          <w:tab w:leader="none" w:pos="160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Tranche A, which shall consist of 50% of the total number of Phantom Units covered by this grant letter, shall vest on the August 2026 Distribution Date;</w:t>
      </w:r>
    </w:p>
    <w:p>
      <w:pPr>
        <w:jc w:val="both"/>
        <w:ind w:left="1620" w:hanging="316"/>
        <w:spacing w:after="0" w:line="243" w:lineRule="auto"/>
        <w:tabs>
          <w:tab w:leader="none" w:pos="16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Tranche B, which shall consist of 25% of the total number of Phantom Units covered by this grant letter, shall vest on the later of the August 2026 Distribution Date and the first Distribution Date following the date on which the Partnership generates distributable cash flow (“DCF”) per common unit and common unit equivalent on a trailing four quarter basis of at least $2.80; and</w:t>
      </w:r>
    </w:p>
    <w:p>
      <w:pPr>
        <w:spacing w:after="0" w:line="1" w:lineRule="exact"/>
        <w:rPr>
          <w:rFonts w:ascii="Arial" w:cs="Arial" w:eastAsia="Arial" w:hAnsi="Arial"/>
          <w:sz w:val="22"/>
          <w:szCs w:val="22"/>
          <w:color w:val="auto"/>
        </w:rPr>
      </w:pPr>
    </w:p>
    <w:p>
      <w:pPr>
        <w:jc w:val="both"/>
        <w:ind w:left="1620" w:hanging="316"/>
        <w:spacing w:after="0" w:line="244" w:lineRule="auto"/>
        <w:tabs>
          <w:tab w:leader="none" w:pos="160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Tranche C, which shall consist of 25% of the total number of Phantom Units covered by this grant letter, shall vest on the later of the August 2026 Distribution Date and the first Distribution Date following the date on which the Partnership generates DCF per common unit and common unit equivalent on a trailing four quarter basis of at least $3.15.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404"/>
        <w:spacing w:after="0" w:line="247" w:lineRule="auto"/>
        <w:rPr>
          <w:sz w:val="20"/>
          <w:szCs w:val="20"/>
          <w:color w:val="auto"/>
        </w:rPr>
      </w:pPr>
      <w:r>
        <w:rPr>
          <w:rFonts w:ascii="Arial" w:cs="Arial" w:eastAsia="Arial" w:hAnsi="Arial"/>
          <w:sz w:val="22"/>
          <w:szCs w:val="22"/>
          <w:color w:val="auto"/>
        </w:rPr>
        <w:t>The DCF performance thresholds described in this paragraph shall apply to any trailing four-quarter period beginning on or after January 1, 2020. Any remaining Phantom Units that have not vested on or before the August 2028 Distribution Date, and any associated DERs (regardless of vesting), shall expire on such date. The DCF per common unit and common unit equivalent amounts referenced in this paragraph are subject to adjustment in the reasonable discretion of the Board based on a recommendation of the CEO to account for significant asset sales, acquisitions or capital transactions.</w:t>
      </w:r>
    </w:p>
    <w:p>
      <w:pPr>
        <w:spacing w:after="0" w:line="193" w:lineRule="exact"/>
        <w:rPr>
          <w:sz w:val="20"/>
          <w:szCs w:val="20"/>
          <w:color w:val="auto"/>
        </w:rPr>
      </w:pPr>
    </w:p>
    <w:p>
      <w:pPr>
        <w:jc w:val="both"/>
        <w:ind w:left="404" w:hanging="404"/>
        <w:spacing w:after="0" w:line="287" w:lineRule="auto"/>
        <w:tabs>
          <w:tab w:leader="none" w:pos="39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shall vest (become payable in cash) as follows: (i) one-fifth of your DERs shall vest upon and effective with the August 2020 Distribution Date; (ii) one-fifth of your DERs shall vest upon and effective with the August 2021 Distribution Date; (iii) one-fifth of your DERs shall vest upon and effective with the August 2022 Distribution Date; (iv) one-fifth of your DERs shall vest upon and effective with the first Distribution Date following the date on which the Partnership generates DCF per common unit and common unit equivalent on a trailing four quarter basis of at least $2.70; and (v) one fifth of your DERs shall vest upon and effective with the first Distribution Date following the date on which the Partnership generates DCF per common unit and common unit equivalent on a trailing four quarter basis of at least $2.90. The DCF performance thresholds described in sections (iv) and (v) of this paragraph shall apply to any trailing four-quarter period beginning on or after January 1, 2020. The DCF per common unit and common unit equivalent amounts referenced in this paragraph are subject to adjustment in the reasonable discretion of the Board based on a recommendation of the CEO to account for significant asset sales, acquisitions or capital transactions.</w:t>
      </w:r>
    </w:p>
    <w:p>
      <w:pPr>
        <w:spacing w:after="0" w:line="185" w:lineRule="exact"/>
        <w:rPr>
          <w:rFonts w:ascii="Arial" w:cs="Arial" w:eastAsia="Arial" w:hAnsi="Arial"/>
          <w:sz w:val="19"/>
          <w:szCs w:val="19"/>
          <w:color w:val="auto"/>
        </w:rPr>
      </w:pPr>
    </w:p>
    <w:p>
      <w:pPr>
        <w:ind w:left="424" w:hanging="424"/>
        <w:spacing w:after="0"/>
        <w:tabs>
          <w:tab w:leader="none" w:pos="42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jc w:val="both"/>
        <w:ind w:left="424" w:hanging="424"/>
        <w:spacing w:after="0" w:line="312" w:lineRule="auto"/>
        <w:tabs>
          <w:tab w:leader="none" w:pos="42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number of Phantom Units subject to this award and any DCF per common unit and common unit equivalent level required for vesting under paragraphs 1 or 2 above shall be proportionately reduced or increased for any split or reverse split, respectively, of the Units, or any event or transaction having a similar effect.</w:t>
      </w:r>
    </w:p>
    <w:p>
      <w:pPr>
        <w:spacing w:after="0" w:line="160" w:lineRule="exact"/>
        <w:rPr>
          <w:rFonts w:ascii="Arial" w:cs="Arial" w:eastAsia="Arial" w:hAnsi="Arial"/>
          <w:sz w:val="19"/>
          <w:szCs w:val="19"/>
          <w:color w:val="auto"/>
        </w:rPr>
      </w:pPr>
    </w:p>
    <w:p>
      <w:pPr>
        <w:jc w:val="both"/>
        <w:ind w:left="424" w:hanging="424"/>
        <w:spacing w:after="0" w:line="253" w:lineRule="auto"/>
        <w:tabs>
          <w:tab w:leader="none" w:pos="42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ectPr>
          <w:pgSz w:w="11900" w:h="16838" w:orient="portrait"/>
          <w:cols w:equalWidth="0" w:num="1">
            <w:col w:w="10584"/>
          </w:cols>
          <w:pgMar w:left="976" w:top="132"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424" w:hanging="424"/>
        <w:spacing w:after="0" w:line="284" w:lineRule="auto"/>
        <w:tabs>
          <w:tab w:leader="none" w:pos="42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the following provisions shall apply: (i) if such termination occurs prior to the second anniversary of the date of this grant letter, 20% of your unvested Phantom Units shall be deemed nonforfeitable on the date of termination, and shall vest on the next following Distribution Date; (ii) if such termination occurs on or after the second anniversary of the date of this grant letter but prior to the third anniversary of the date of this grant letter, 40% of your unvested Phantom Units shall be deemed nonforfeitable on the date of termination, and shall vest on the next following Distribution Date; (iii) if such termination occurs on or after the third anniversary of the date of this grant letter but prior to the fourth anniversary of the date of this grant letter, 60% of your unvested Phantom Units shall be deemed nonforfeitable on the date of termination, and shall vest on the next following Distribution Date; (iv) if such termination occurs on or after the fourth anniversary of the date of this grant letter but prior to the fifth anniversary of the date of this grant letter, 80% of your unvested Phantom Units shall be deemed nonforfeitable on the date of termination, and shall vest on the next following Distribution Date; (v) if such termination occurs on or after the fifth anniversary of the date of this grant letter, 100% of your unvested Phantom Units shall be deemed nonforfeitable on the date of termination, and shall vest on the next following Distribution Date; and (vi) any DERs associated with such unvested, nonforfeitable Phantom Units described in clauses (i)-(v) immediately preceding shall not be forfeited on the date of termination, but shall vest in accordance with paragraph 2 above and if vested shall be payable and shall expire in accordance with paragraph 1 or paragraph 5 above.</w:t>
      </w:r>
    </w:p>
    <w:p>
      <w:pPr>
        <w:sectPr>
          <w:pgSz w:w="11900" w:h="16838" w:orient="portrait"/>
          <w:cols w:equalWidth="0" w:num="1">
            <w:col w:w="10584"/>
          </w:cols>
          <w:pgMar w:left="976" w:top="132"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080" w:hanging="424"/>
        <w:spacing w:after="0" w:line="286" w:lineRule="auto"/>
        <w:tabs>
          <w:tab w:leader="none" w:pos="10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letter, all of your then outstanding Phantom Units and DERs shall automatically be forfeited as of the date of termination and (ii) if such termination takes place on or after the second anniversary of the date of this grant, 100% of the unvested Phantom Units covered by paragraph 1(a) above, and any unvested Phantom Units covered by paragraphs 1(b) and 1(c) above with respect to which the Partnership has, as of the date of termination, achieved the applicable DCF vesting criteria for such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188" w:lineRule="exact"/>
        <w:rPr>
          <w:rFonts w:ascii="Arial" w:cs="Arial" w:eastAsia="Arial" w:hAnsi="Arial"/>
          <w:sz w:val="19"/>
          <w:szCs w:val="19"/>
          <w:color w:val="auto"/>
        </w:rPr>
      </w:pPr>
    </w:p>
    <w:p>
      <w:pPr>
        <w:ind w:left="1080" w:hanging="424"/>
        <w:spacing w:after="0" w:line="343" w:lineRule="auto"/>
        <w:tabs>
          <w:tab w:leader="none" w:pos="10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the event of a Change in Status, all of your then outstanding Phantom Units and tandem DERs shall be deemed 100% nonforfeitable on such date, and such Phantom Units shall vest in full upon the next Distribution Date.</w:t>
      </w:r>
    </w:p>
    <w:p>
      <w:pPr>
        <w:spacing w:after="0" w:line="131"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the New York Stock Exchange for the five trading days preceding the then most recent “ex dividend” date for payment of a distribution by the Partnership; and (iv) “Board” means the board of directors of PAGP GP (defined below).</w:t>
      </w:r>
    </w:p>
    <w:p>
      <w:pPr>
        <w:sectPr>
          <w:pgSz w:w="11900" w:h="16838" w:orient="portrait"/>
          <w:cols w:equalWidth="0" w:num="1">
            <w:col w:w="11240"/>
          </w:cols>
          <w:pgMar w:left="320" w:top="132"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Chief Executive Officer of the Company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47" w:lineRule="auto"/>
        <w:tabs>
          <w:tab w:leader="none" w:pos="157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2" w:lineRule="exact"/>
        <w:rPr>
          <w:rFonts w:ascii="Arial" w:cs="Arial" w:eastAsia="Arial" w:hAnsi="Arial"/>
          <w:sz w:val="22"/>
          <w:szCs w:val="22"/>
          <w:color w:val="auto"/>
        </w:rPr>
      </w:pPr>
    </w:p>
    <w:p>
      <w:pPr>
        <w:jc w:val="both"/>
        <w:ind w:left="1580" w:hanging="924"/>
        <w:spacing w:after="0" w:line="243" w:lineRule="auto"/>
        <w:tabs>
          <w:tab w:leader="none" w:pos="157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43" w:lineRule="auto"/>
        <w:tabs>
          <w:tab w:leader="none" w:pos="156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jc w:val="both"/>
        <w:ind w:left="1580" w:hanging="924"/>
        <w:spacing w:after="0" w:line="244" w:lineRule="auto"/>
        <w:tabs>
          <w:tab w:leader="none" w:pos="157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ectPr>
          <w:pgSz w:w="11900" w:h="16838" w:orient="portrait"/>
          <w:cols w:equalWidth="0" w:num="1">
            <w:col w:w="11240"/>
          </w:cols>
          <w:pgMar w:left="320" w:top="132"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20, 2019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Please execute and return a copy of this grant letter to Richard McGee and retain a copy for your records.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220" w:type="dxa"/>
            <w:vAlign w:val="bottom"/>
            <w:gridSpan w:val="4"/>
          </w:tcPr>
          <w:p>
            <w:pPr>
              <w:ind w:left="80"/>
              <w:spacing w:after="0"/>
              <w:rPr>
                <w:sz w:val="20"/>
                <w:szCs w:val="20"/>
                <w:color w:val="auto"/>
              </w:rPr>
            </w:pPr>
            <w:r>
              <w:rPr>
                <w:rFonts w:ascii="Arial" w:cs="Arial" w:eastAsia="Arial" w:hAnsi="Arial"/>
                <w:sz w:val="22"/>
                <w:szCs w:val="22"/>
                <w:color w:val="auto"/>
              </w:rPr>
              <w:t>By:  ______________________________</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w w:val="92"/>
              </w:rPr>
              <w:t>Name:</w:t>
            </w:r>
          </w:p>
        </w:tc>
        <w:tc>
          <w:tcPr>
            <w:tcW w:w="2960" w:type="dxa"/>
            <w:vAlign w:val="bottom"/>
            <w:gridSpan w:val="2"/>
          </w:tcPr>
          <w:p>
            <w:pPr>
              <w:ind w:left="160"/>
              <w:spacing w:after="0"/>
              <w:rPr>
                <w:sz w:val="20"/>
                <w:szCs w:val="20"/>
                <w:color w:val="auto"/>
              </w:rPr>
            </w:pPr>
            <w:r>
              <w:rPr>
                <w:rFonts w:ascii="Arial" w:cs="Arial" w:eastAsia="Arial" w:hAnsi="Arial"/>
                <w:sz w:val="22"/>
                <w:szCs w:val="22"/>
                <w:color w:val="auto"/>
              </w:rPr>
              <w:t>Willie Chiang</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2960" w:type="dxa"/>
            <w:vAlign w:val="bottom"/>
            <w:gridSpan w:val="2"/>
          </w:tcPr>
          <w:p>
            <w:pPr>
              <w:ind w:left="60"/>
              <w:spacing w:after="0"/>
              <w:rPr>
                <w:sz w:val="20"/>
                <w:szCs w:val="20"/>
                <w:color w:val="auto"/>
              </w:rPr>
            </w:pPr>
            <w:r>
              <w:rPr>
                <w:rFonts w:ascii="Arial" w:cs="Arial" w:eastAsia="Arial" w:hAnsi="Arial"/>
                <w:sz w:val="22"/>
                <w:szCs w:val="22"/>
                <w:color w:val="auto"/>
              </w:rPr>
              <w:t>Chief Executive Officer</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6"/>
        </w:trPr>
        <w:tc>
          <w:tcPr>
            <w:tcW w:w="10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020" w:type="dxa"/>
            <w:vAlign w:val="bottom"/>
          </w:tcPr>
          <w:p>
            <w:pPr>
              <w:ind w:left="20"/>
              <w:spacing w:after="0"/>
              <w:rPr>
                <w:sz w:val="20"/>
                <w:szCs w:val="20"/>
                <w:color w:val="auto"/>
              </w:rPr>
            </w:pPr>
            <w:r>
              <w:rPr>
                <w:rFonts w:ascii="Arial" w:cs="Arial" w:eastAsia="Arial" w:hAnsi="Arial"/>
                <w:sz w:val="22"/>
                <w:szCs w:val="22"/>
                <w:color w:val="auto"/>
              </w:rPr>
              <w:t>[Officer]</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20" w:type="dxa"/>
            <w:vAlign w:val="bottom"/>
          </w:tcPr>
          <w:p>
            <w:pPr>
              <w:ind w:left="20"/>
              <w:spacing w:after="0"/>
              <w:rPr>
                <w:sz w:val="20"/>
                <w:szCs w:val="20"/>
                <w:color w:val="auto"/>
              </w:rPr>
            </w:pPr>
            <w:r>
              <w:rPr>
                <w:rFonts w:ascii="Arial" w:cs="Arial" w:eastAsia="Arial" w:hAnsi="Arial"/>
                <w:sz w:val="22"/>
                <w:szCs w:val="22"/>
                <w:color w:val="auto"/>
              </w:rPr>
              <w:t>Units:</w:t>
            </w:r>
          </w:p>
        </w:tc>
        <w:tc>
          <w:tcPr>
            <w:tcW w:w="3500" w:type="dxa"/>
            <w:vAlign w:val="bottom"/>
            <w:gridSpan w:val="2"/>
          </w:tcPr>
          <w:p>
            <w:pPr>
              <w:ind w:left="20"/>
              <w:spacing w:after="0"/>
              <w:rPr>
                <w:sz w:val="20"/>
                <w:szCs w:val="20"/>
                <w:color w:val="auto"/>
              </w:rPr>
            </w:pPr>
            <w:r>
              <w:rPr>
                <w:rFonts w:ascii="Arial" w:cs="Arial" w:eastAsia="Arial" w:hAnsi="Arial"/>
                <w:sz w:val="22"/>
                <w:szCs w:val="22"/>
                <w:color w:val="auto"/>
              </w:rPr>
              <w:t>[LTIP Grant]</w:t>
            </w: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Dated:</w:t>
            </w:r>
          </w:p>
        </w:tc>
        <w:tc>
          <w:tcPr>
            <w:tcW w:w="28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102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9"/>
        </w:trPr>
        <w:tc>
          <w:tcPr>
            <w:tcW w:w="45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Beneficiary Designation</w:t>
            </w:r>
          </w:p>
        </w:tc>
        <w:tc>
          <w:tcPr>
            <w:tcW w:w="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520" w:type="dxa"/>
            <w:vAlign w:val="bottom"/>
            <w:tcBorders>
              <w:left w:val="single" w:sz="8" w:color="auto"/>
              <w:bottom w:val="single" w:sz="8" w:color="C0C0C0"/>
            </w:tcBorders>
            <w:gridSpan w:val="3"/>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72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520" w:type="dxa"/>
            <w:vAlign w:val="bottom"/>
            <w:tcBorders>
              <w:left w:val="single" w:sz="8" w:color="auto"/>
              <w:bottom w:val="single" w:sz="8" w:color="C0C0C0"/>
            </w:tcBorders>
            <w:gridSpan w:val="3"/>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72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123"/>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ectPr>
          <w:pgSz w:w="11900" w:h="16838" w:orient="portrait"/>
          <w:cols w:equalWidth="0" w:num="1">
            <w:col w:w="11240"/>
          </w:cols>
          <w:pgMar w:left="320" w:top="132"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10.55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10795</wp:posOffset>
            </wp:positionV>
            <wp:extent cx="2117090" cy="6083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1">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21, 2017</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Jeremy Goebel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Jeremy:</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150,000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2" w:lineRule="exact"/>
        <w:rPr>
          <w:sz w:val="20"/>
          <w:szCs w:val="20"/>
          <w:color w:val="auto"/>
        </w:rPr>
      </w:pPr>
    </w:p>
    <w:p>
      <w:pPr>
        <w:jc w:val="both"/>
        <w:ind w:left="980" w:hanging="324"/>
        <w:spacing w:after="0" w:line="291" w:lineRule="auto"/>
        <w:tabs>
          <w:tab w:leader="none" w:pos="9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Subject to the further provisions of this Agreement, your Phantom Units shall vest (become payable in the form of one Common Unit of PAA for each Phantom Unit) as follows: 20% of your Phantom Units (30,000) will vest on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calendar year beginning January 1, 2019 and continuing thereafter through January 1, 2023.</w:t>
      </w:r>
    </w:p>
    <w:p>
      <w:pPr>
        <w:spacing w:after="0" w:line="92" w:lineRule="exact"/>
        <w:rPr>
          <w:rFonts w:ascii="Arial" w:cs="Arial" w:eastAsia="Arial" w:hAnsi="Arial"/>
          <w:sz w:val="20"/>
          <w:szCs w:val="20"/>
          <w:color w:val="auto"/>
        </w:rPr>
      </w:pPr>
    </w:p>
    <w:p>
      <w:pPr>
        <w:ind w:left="1060" w:hanging="404"/>
        <w:spacing w:after="0" w:line="263" w:lineRule="auto"/>
        <w:tabs>
          <w:tab w:leader="none" w:pos="105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100% your DERs shall vest (become payable in cash) upon and effective with the February 2018 Distribution Date.</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ind w:left="1080" w:hanging="424"/>
        <w:spacing w:after="0" w:line="263" w:lineRule="auto"/>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shall be proportionately reduced or increased for any split or reverse split, respectively, of the Units, or any event or transaction having a similar effect.</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Upon vesting of your Phantom Units, an equivalent number of your DERs will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080" w:hanging="424"/>
        <w:spacing w:after="0" w:line="292" w:lineRule="auto"/>
        <w:tabs>
          <w:tab w:leader="none" w:pos="108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and Phantom Units shall automatically be forfeited as of the date of termination; provided, however, that if the Company or its Affiliates terminate your employment other than as a result of a Termination for Cause: (i) any unvested Phantom Units shall be deemed nonforfeitable on the date of termination, and shall vest on the next following Distribution Date; and (ii) any remaining DERs shall not be forfeited on the date of termination, but shall be payable and shall expire in accordance with paragraph 5 above.</w:t>
      </w:r>
    </w:p>
    <w:p>
      <w:pPr>
        <w:spacing w:after="0" w:line="177" w:lineRule="exact"/>
        <w:rPr>
          <w:rFonts w:ascii="Arial" w:cs="Arial" w:eastAsia="Arial" w:hAnsi="Arial"/>
          <w:sz w:val="19"/>
          <w:szCs w:val="19"/>
          <w:color w:val="auto"/>
        </w:rPr>
      </w:pPr>
    </w:p>
    <w:p>
      <w:pPr>
        <w:jc w:val="both"/>
        <w:ind w:left="1080" w:hanging="424"/>
        <w:spacing w:after="0" w:line="259" w:lineRule="auto"/>
        <w:tabs>
          <w:tab w:leader="none" w:pos="108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shall be deemed nonforfeitable on the date of termination and shall vest on the next following Distribution Date (and any remaining DERs shall not be forfeited on the date of termination, but shall be payable and shall expire in accordance with paragraph 5 above). As soon as administratively practicable after the vesting of any Phantom Units pursuant to this paragraph 7, payment will be made in cash in an amount equal to the Market Value of the number of Phantom Units vesting.</w:t>
      </w:r>
    </w:p>
    <w:p>
      <w:pPr>
        <w:spacing w:after="0" w:line="210" w:lineRule="exact"/>
        <w:rPr>
          <w:rFonts w:ascii="Arial" w:cs="Arial" w:eastAsia="Arial" w:hAnsi="Arial"/>
          <w:sz w:val="21"/>
          <w:szCs w:val="21"/>
          <w:color w:val="auto"/>
        </w:rPr>
      </w:pPr>
    </w:p>
    <w:p>
      <w:pPr>
        <w:ind w:left="1080" w:hanging="424"/>
        <w:spacing w:after="0" w:line="263" w:lineRule="auto"/>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shall be deemed 100% nonforfeitable on such date, and such Phantom Units shall vest in full upon the next Distribution Date.</w:t>
      </w:r>
    </w:p>
    <w:p>
      <w:pPr>
        <w:spacing w:after="0" w:line="201" w:lineRule="exact"/>
        <w:rPr>
          <w:rFonts w:ascii="Arial" w:cs="Arial" w:eastAsia="Arial" w:hAnsi="Arial"/>
          <w:sz w:val="22"/>
          <w:szCs w:val="22"/>
          <w:color w:val="auto"/>
        </w:rPr>
      </w:pPr>
    </w:p>
    <w:p>
      <w:pPr>
        <w:jc w:val="both"/>
        <w:ind w:left="1080" w:hanging="424"/>
        <w:spacing w:after="0" w:line="250" w:lineRule="auto"/>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ectPr>
          <w:pgSz w:w="11900" w:h="16838" w:orient="portrait"/>
          <w:cols w:equalWidth="0" w:num="1">
            <w:col w:w="11240"/>
          </w:cols>
          <w:pgMar w:left="320" w:top="132"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with the Company as a result of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ectPr>
          <w:pgSz w:w="11900" w:h="16838" w:orient="portrait"/>
          <w:cols w:equalWidth="0" w:num="1">
            <w:col w:w="11240"/>
          </w:cols>
          <w:pgMar w:left="320" w:top="132"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580" w:type="dxa"/>
            <w:vAlign w:val="bottom"/>
          </w:tcPr>
          <w:p>
            <w:pPr>
              <w:ind w:left="3900"/>
              <w:spacing w:after="0"/>
              <w:rPr>
                <w:sz w:val="20"/>
                <w:szCs w:val="20"/>
                <w:color w:val="auto"/>
              </w:rPr>
            </w:pPr>
            <w:r>
              <w:rPr>
                <w:rFonts w:ascii="Arial" w:cs="Arial" w:eastAsia="Arial" w:hAnsi="Arial"/>
                <w:sz w:val="22"/>
                <w:szCs w:val="22"/>
                <w:color w:val="auto"/>
              </w:rPr>
              <w:t>Name:</w:t>
            </w:r>
          </w:p>
        </w:tc>
        <w:tc>
          <w:tcPr>
            <w:tcW w:w="2900" w:type="dxa"/>
            <w:vAlign w:val="bottom"/>
            <w:gridSpan w:val="2"/>
          </w:tcPr>
          <w:p>
            <w:pPr>
              <w:ind w:left="100"/>
              <w:spacing w:after="0"/>
              <w:rPr>
                <w:sz w:val="20"/>
                <w:szCs w:val="20"/>
                <w:color w:val="auto"/>
              </w:rPr>
            </w:pPr>
            <w:r>
              <w:rPr>
                <w:rFonts w:ascii="Arial" w:cs="Arial" w:eastAsia="Arial" w:hAnsi="Arial"/>
                <w:sz w:val="22"/>
                <w:szCs w:val="22"/>
                <w:color w:val="auto"/>
              </w:rPr>
              <w:t>Greg L. Armstrong</w:t>
            </w:r>
          </w:p>
        </w:tc>
        <w:tc>
          <w:tcPr>
            <w:tcW w:w="3560" w:type="dxa"/>
            <w:vAlign w:val="bottom"/>
          </w:tcPr>
          <w:p>
            <w:pPr>
              <w:spacing w:after="0"/>
              <w:rPr>
                <w:sz w:val="21"/>
                <w:szCs w:val="21"/>
                <w:color w:val="auto"/>
              </w:rPr>
            </w:pPr>
          </w:p>
        </w:tc>
      </w:tr>
      <w:tr>
        <w:trPr>
          <w:trHeight w:val="274"/>
        </w:trPr>
        <w:tc>
          <w:tcPr>
            <w:tcW w:w="11040" w:type="dxa"/>
            <w:vAlign w:val="bottom"/>
            <w:gridSpan w:val="4"/>
          </w:tcPr>
          <w:p>
            <w:pPr>
              <w:ind w:left="3900"/>
              <w:spacing w:after="0"/>
              <w:rPr>
                <w:sz w:val="20"/>
                <w:szCs w:val="20"/>
                <w:color w:val="auto"/>
              </w:rPr>
            </w:pPr>
            <w:r>
              <w:rPr>
                <w:rFonts w:ascii="Arial" w:cs="Arial" w:eastAsia="Arial" w:hAnsi="Arial"/>
                <w:sz w:val="22"/>
                <w:szCs w:val="22"/>
                <w:color w:val="auto"/>
              </w:rPr>
              <w:t>Title:  Chairman of the Board and Chief Executive Officer</w:t>
            </w:r>
          </w:p>
        </w:tc>
      </w:tr>
      <w:tr>
        <w:trPr>
          <w:trHeight w:val="75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Beneficiary Designation</w:t>
            </w: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3"/>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81" w:lineRule="exact"/>
        <w:rPr>
          <w:sz w:val="20"/>
          <w:szCs w:val="20"/>
          <w:color w:val="auto"/>
        </w:rPr>
      </w:pPr>
    </w:p>
    <w:p>
      <w:pPr>
        <w:ind w:left="260" w:hanging="252"/>
        <w:spacing w:after="0"/>
        <w:tabs>
          <w:tab w:leader="none" w:pos="260" w:val="left"/>
        </w:tabs>
        <w:numPr>
          <w:ilvl w:val="0"/>
          <w:numId w:val="126"/>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Jeremy Goebel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Units: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7200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240"/>
          </w:cols>
          <w:pgMar w:left="320" w:top="132"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10795</wp:posOffset>
            </wp:positionV>
            <wp:extent cx="2117090" cy="6083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3">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 2018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75,000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74" w:lineRule="exact"/>
        <w:rPr>
          <w:sz w:val="20"/>
          <w:szCs w:val="20"/>
          <w:color w:val="auto"/>
        </w:rPr>
      </w:pPr>
    </w:p>
    <w:p>
      <w:pPr>
        <w:jc w:val="both"/>
        <w:ind w:left="1060" w:hanging="404"/>
        <w:spacing w:after="0" w:line="247" w:lineRule="auto"/>
        <w:tabs>
          <w:tab w:leader="none" w:pos="10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on the May 2021 Distribution Date, assuming your continued service through such date; however, 50% of such Phantom Units may vest prior to the May 2021 Distribution Date if and when PAA shall have generated distributable cash flow per Common Unit on a trailing four quarter basis of at least $2.30 (such amount being subject to adjustment in the reasonable discretion of the CEO to account for significant asset sales).</w:t>
      </w:r>
    </w:p>
    <w:p>
      <w:pPr>
        <w:spacing w:after="0" w:line="219" w:lineRule="exact"/>
        <w:rPr>
          <w:rFonts w:ascii="Arial" w:cs="Arial" w:eastAsia="Arial" w:hAnsi="Arial"/>
          <w:sz w:val="22"/>
          <w:szCs w:val="22"/>
          <w:color w:val="auto"/>
        </w:rPr>
      </w:pPr>
    </w:p>
    <w:p>
      <w:pPr>
        <w:ind w:left="1060" w:hanging="404"/>
        <w:spacing w:after="0" w:line="263" w:lineRule="auto"/>
        <w:tabs>
          <w:tab w:leader="none" w:pos="10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May 2018 Distribution Date.</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the distributable cash flow level required for vesting under paragraph 1 above shall be proportionately reduced or increased for any split or reverse split, respectively, of PAA Common Units, or any event or transaction having a similar effect.</w:t>
      </w:r>
    </w:p>
    <w:p>
      <w:pPr>
        <w:spacing w:after="0" w:line="212"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080" w:hanging="424"/>
        <w:spacing w:after="0" w:line="259" w:lineRule="auto"/>
        <w:tabs>
          <w:tab w:leader="none" w:pos="10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7 below), all of your then outstanding 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210" w:lineRule="exact"/>
        <w:rPr>
          <w:rFonts w:ascii="Arial" w:cs="Arial" w:eastAsia="Arial" w:hAnsi="Arial"/>
          <w:sz w:val="21"/>
          <w:szCs w:val="21"/>
          <w:color w:val="auto"/>
        </w:rPr>
      </w:pPr>
    </w:p>
    <w:p>
      <w:pPr>
        <w:jc w:val="both"/>
        <w:ind w:left="1080" w:hanging="424"/>
        <w:spacing w:after="0" w:line="287" w:lineRule="auto"/>
        <w:tabs>
          <w:tab w:leader="none" w:pos="10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pacing w:after="0" w:line="190"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14" w:lineRule="exact"/>
        <w:rPr>
          <w:rFonts w:ascii="Arial" w:cs="Arial" w:eastAsia="Arial" w:hAnsi="Arial"/>
          <w:sz w:val="22"/>
          <w:szCs w:val="22"/>
          <w:color w:val="auto"/>
        </w:rPr>
      </w:pPr>
    </w:p>
    <w:p>
      <w:pPr>
        <w:jc w:val="both"/>
        <w:ind w:left="1080" w:hanging="424"/>
        <w:spacing w:after="0" w:line="250"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ectPr>
          <w:pgSz w:w="11900" w:h="16838" w:orient="portrait"/>
          <w:cols w:equalWidth="0" w:num="1">
            <w:col w:w="11240"/>
          </w:cols>
          <w:pgMar w:left="320" w:top="132"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ectPr>
          <w:pgSz w:w="11900" w:h="16838" w:orient="portrait"/>
          <w:cols w:equalWidth="0" w:num="1">
            <w:col w:w="11240"/>
          </w:cols>
          <w:pgMar w:left="320" w:top="132" w:right="3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and COO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(the “Partnership Agreement”).</w:t>
      </w:r>
    </w:p>
    <w:p>
      <w:pPr>
        <w:sectPr>
          <w:pgSz w:w="11900" w:h="16838" w:orient="portrait"/>
          <w:cols w:equalWidth="0" w:num="1">
            <w:col w:w="11240"/>
          </w:cols>
          <w:pgMar w:left="320" w:top="132" w:right="3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565"/>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Richard McGee or Ann Gullion and retain a copy for your records.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580" w:type="dxa"/>
            <w:vAlign w:val="bottom"/>
          </w:tcPr>
          <w:p>
            <w:pPr>
              <w:ind w:left="3900"/>
              <w:spacing w:after="0"/>
              <w:rPr>
                <w:sz w:val="20"/>
                <w:szCs w:val="20"/>
                <w:color w:val="auto"/>
              </w:rPr>
            </w:pPr>
            <w:r>
              <w:rPr>
                <w:rFonts w:ascii="Arial" w:cs="Arial" w:eastAsia="Arial" w:hAnsi="Arial"/>
                <w:sz w:val="22"/>
                <w:szCs w:val="22"/>
                <w:color w:val="auto"/>
              </w:rPr>
              <w:t>Name:</w:t>
            </w:r>
          </w:p>
        </w:tc>
        <w:tc>
          <w:tcPr>
            <w:tcW w:w="2900" w:type="dxa"/>
            <w:vAlign w:val="bottom"/>
            <w:gridSpan w:val="2"/>
          </w:tcPr>
          <w:p>
            <w:pPr>
              <w:ind w:left="100"/>
              <w:spacing w:after="0"/>
              <w:rPr>
                <w:sz w:val="20"/>
                <w:szCs w:val="20"/>
                <w:color w:val="auto"/>
              </w:rPr>
            </w:pPr>
            <w:r>
              <w:rPr>
                <w:rFonts w:ascii="Arial" w:cs="Arial" w:eastAsia="Arial" w:hAnsi="Arial"/>
                <w:sz w:val="22"/>
                <w:szCs w:val="22"/>
                <w:color w:val="auto"/>
              </w:rPr>
              <w:t>Willie Chiang</w:t>
            </w:r>
          </w:p>
        </w:tc>
        <w:tc>
          <w:tcPr>
            <w:tcW w:w="3560" w:type="dxa"/>
            <w:vAlign w:val="bottom"/>
          </w:tcPr>
          <w:p>
            <w:pPr>
              <w:spacing w:after="0"/>
              <w:rPr>
                <w:sz w:val="21"/>
                <w:szCs w:val="21"/>
                <w:color w:val="auto"/>
              </w:rPr>
            </w:pPr>
          </w:p>
        </w:tc>
      </w:tr>
      <w:tr>
        <w:trPr>
          <w:trHeight w:val="274"/>
        </w:trPr>
        <w:tc>
          <w:tcPr>
            <w:tcW w:w="7480" w:type="dxa"/>
            <w:vAlign w:val="bottom"/>
            <w:gridSpan w:val="3"/>
          </w:tcPr>
          <w:p>
            <w:pPr>
              <w:ind w:left="3900"/>
              <w:spacing w:after="0"/>
              <w:rPr>
                <w:sz w:val="20"/>
                <w:szCs w:val="20"/>
                <w:color w:val="auto"/>
              </w:rPr>
            </w:pPr>
            <w:r>
              <w:rPr>
                <w:rFonts w:ascii="Arial" w:cs="Arial" w:eastAsia="Arial" w:hAnsi="Arial"/>
                <w:sz w:val="22"/>
                <w:szCs w:val="22"/>
                <w:color w:val="auto"/>
                <w:w w:val="93"/>
              </w:rPr>
              <w:t>Title:  Executive Vice President &amp; COO</w:t>
            </w:r>
          </w:p>
        </w:tc>
        <w:tc>
          <w:tcPr>
            <w:tcW w:w="3560" w:type="dxa"/>
            <w:vAlign w:val="bottom"/>
          </w:tcPr>
          <w:p>
            <w:pPr>
              <w:spacing w:after="0"/>
              <w:rPr>
                <w:sz w:val="23"/>
                <w:szCs w:val="23"/>
                <w:color w:val="auto"/>
              </w:rPr>
            </w:pPr>
          </w:p>
        </w:tc>
      </w:tr>
      <w:tr>
        <w:trPr>
          <w:trHeight w:val="75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Beneficiary Designation</w:t>
            </w: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3"/>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95" w:lineRule="exact"/>
        <w:rPr>
          <w:sz w:val="20"/>
          <w:szCs w:val="20"/>
          <w:color w:val="auto"/>
        </w:rPr>
      </w:pPr>
    </w:p>
    <w:p>
      <w:pPr>
        <w:ind w:left="260" w:hanging="252"/>
        <w:spacing w:after="0"/>
        <w:tabs>
          <w:tab w:leader="none" w:pos="260" w:val="left"/>
        </w:tabs>
        <w:numPr>
          <w:ilvl w:val="0"/>
          <w:numId w:val="129"/>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Units: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7886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240"/>
          </w:cols>
          <w:pgMar w:left="320" w:top="132" w:right="339" w:bottom="1440" w:gutter="0" w:footer="0" w:header="0"/>
        </w:sectPr>
      </w:pPr>
    </w:p>
    <w:bookmarkStart w:id="218" w:name="page219"/>
    <w:bookmarkEnd w:id="218"/>
    <w:p>
      <w:pPr>
        <w:ind w:left="9800"/>
        <w:spacing w:after="0"/>
        <w:rPr>
          <w:sz w:val="20"/>
          <w:szCs w:val="20"/>
          <w:color w:val="auto"/>
        </w:rPr>
      </w:pPr>
      <w:r>
        <w:rPr>
          <w:rFonts w:ascii="Arial" w:cs="Arial" w:eastAsia="Arial" w:hAnsi="Arial"/>
          <w:sz w:val="22"/>
          <w:szCs w:val="22"/>
          <w:b w:val="1"/>
          <w:bCs w:val="1"/>
          <w:color w:val="auto"/>
        </w:rPr>
        <w:t>Exhibit 10.57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10795</wp:posOffset>
            </wp:positionV>
            <wp:extent cx="2117090" cy="6083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5">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 2018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135,000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74" w:lineRule="exact"/>
        <w:rPr>
          <w:sz w:val="20"/>
          <w:szCs w:val="20"/>
          <w:color w:val="auto"/>
        </w:rPr>
      </w:pPr>
    </w:p>
    <w:p>
      <w:pPr>
        <w:jc w:val="both"/>
        <w:ind w:left="1060" w:hanging="404"/>
        <w:spacing w:after="0" w:line="302" w:lineRule="auto"/>
        <w:tabs>
          <w:tab w:leader="none" w:pos="10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Units shall vest (become payable in the form of one Common Unit of PAA for each Phantom Unit) as follows: (i) one-third shall vest on the May 2020 Distribution Date, (ii) one-third shall vest on the May 2021 Distribution Date, and (iii) one-third shall vest on the May 2022 Distribution Date, in each case assuming your continued service through the applicable Distribution Date.</w:t>
      </w:r>
    </w:p>
    <w:p>
      <w:pPr>
        <w:spacing w:after="0" w:line="169" w:lineRule="exact"/>
        <w:rPr>
          <w:rFonts w:ascii="Arial" w:cs="Arial" w:eastAsia="Arial" w:hAnsi="Arial"/>
          <w:sz w:val="19"/>
          <w:szCs w:val="19"/>
          <w:color w:val="auto"/>
        </w:rPr>
      </w:pPr>
    </w:p>
    <w:p>
      <w:pPr>
        <w:ind w:left="1060" w:hanging="404"/>
        <w:spacing w:after="0" w:line="263" w:lineRule="auto"/>
        <w:tabs>
          <w:tab w:leader="none" w:pos="10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May 2018 Distribution Date.</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46" w:lineRule="exact"/>
        <w:rPr>
          <w:rFonts w:ascii="Arial" w:cs="Arial" w:eastAsia="Arial" w:hAnsi="Arial"/>
          <w:sz w:val="22"/>
          <w:szCs w:val="22"/>
          <w:color w:val="auto"/>
        </w:rPr>
      </w:pPr>
    </w:p>
    <w:p>
      <w:pPr>
        <w:ind w:left="1080" w:hanging="424"/>
        <w:spacing w:after="0" w:line="287" w:lineRule="auto"/>
        <w:tabs>
          <w:tab w:leader="none" w:pos="108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number of Phantom Units subject to this award shall be proportionately reduced or increased for any split or reverse split, respectively, of PAA Common Units, or any event or transaction having a similar effect.</w:t>
      </w:r>
    </w:p>
    <w:p>
      <w:pPr>
        <w:spacing w:after="0" w:line="178" w:lineRule="exact"/>
        <w:rPr>
          <w:rFonts w:ascii="Arial" w:cs="Arial" w:eastAsia="Arial" w:hAnsi="Arial"/>
          <w:sz w:val="21"/>
          <w:szCs w:val="21"/>
          <w:color w:val="auto"/>
        </w:rPr>
      </w:pPr>
    </w:p>
    <w:p>
      <w:pPr>
        <w:jc w:val="both"/>
        <w:ind w:left="1080" w:hanging="424"/>
        <w:spacing w:after="0" w:line="253" w:lineRule="auto"/>
        <w:tabs>
          <w:tab w:leader="none" w:pos="10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080" w:hanging="424"/>
        <w:spacing w:after="0" w:line="259" w:lineRule="auto"/>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7 below), all of your then outstanding 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210" w:lineRule="exact"/>
        <w:rPr>
          <w:rFonts w:ascii="Arial" w:cs="Arial" w:eastAsia="Arial" w:hAnsi="Arial"/>
          <w:sz w:val="21"/>
          <w:szCs w:val="21"/>
          <w:color w:val="auto"/>
        </w:rPr>
      </w:pPr>
    </w:p>
    <w:p>
      <w:pPr>
        <w:jc w:val="both"/>
        <w:ind w:left="1080" w:hanging="424"/>
        <w:spacing w:after="0" w:line="290" w:lineRule="auto"/>
        <w:tabs>
          <w:tab w:leader="none" w:pos="10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pacing w:after="0" w:line="182"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14" w:lineRule="exact"/>
        <w:rPr>
          <w:rFonts w:ascii="Arial" w:cs="Arial" w:eastAsia="Arial" w:hAnsi="Arial"/>
          <w:sz w:val="22"/>
          <w:szCs w:val="22"/>
          <w:color w:val="auto"/>
        </w:rPr>
      </w:pPr>
    </w:p>
    <w:p>
      <w:pPr>
        <w:jc w:val="both"/>
        <w:ind w:left="1080" w:hanging="424"/>
        <w:spacing w:after="0" w:line="250" w:lineRule="auto"/>
        <w:tabs>
          <w:tab w:leader="none" w:pos="108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ectPr>
          <w:pgSz w:w="11900" w:h="16838" w:orient="portrait"/>
          <w:cols w:equalWidth="0" w:num="1">
            <w:col w:w="11240"/>
          </w:cols>
          <w:pgMar w:left="320" w:top="132"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ectPr>
          <w:pgSz w:w="11900" w:h="16838" w:orient="portrait"/>
          <w:cols w:equalWidth="0" w:num="1">
            <w:col w:w="11240"/>
          </w:cols>
          <w:pgMar w:left="320" w:top="132" w:right="3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and COO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(the “Partnership Agreement”).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Richard McGee or Ann Gullion and retain a copy for your records.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580" w:type="dxa"/>
            <w:vAlign w:val="bottom"/>
          </w:tcPr>
          <w:p>
            <w:pPr>
              <w:ind w:left="3900"/>
              <w:spacing w:after="0"/>
              <w:rPr>
                <w:sz w:val="20"/>
                <w:szCs w:val="20"/>
                <w:color w:val="auto"/>
              </w:rPr>
            </w:pPr>
            <w:r>
              <w:rPr>
                <w:rFonts w:ascii="Arial" w:cs="Arial" w:eastAsia="Arial" w:hAnsi="Arial"/>
                <w:sz w:val="22"/>
                <w:szCs w:val="22"/>
                <w:color w:val="auto"/>
              </w:rPr>
              <w:t>Name:</w:t>
            </w:r>
          </w:p>
        </w:tc>
        <w:tc>
          <w:tcPr>
            <w:tcW w:w="2900" w:type="dxa"/>
            <w:vAlign w:val="bottom"/>
            <w:gridSpan w:val="2"/>
          </w:tcPr>
          <w:p>
            <w:pPr>
              <w:ind w:left="100"/>
              <w:spacing w:after="0"/>
              <w:rPr>
                <w:sz w:val="20"/>
                <w:szCs w:val="20"/>
                <w:color w:val="auto"/>
              </w:rPr>
            </w:pPr>
            <w:r>
              <w:rPr>
                <w:rFonts w:ascii="Arial" w:cs="Arial" w:eastAsia="Arial" w:hAnsi="Arial"/>
                <w:sz w:val="22"/>
                <w:szCs w:val="22"/>
                <w:color w:val="auto"/>
              </w:rPr>
              <w:t>Willie Chiang</w:t>
            </w:r>
          </w:p>
        </w:tc>
        <w:tc>
          <w:tcPr>
            <w:tcW w:w="3560" w:type="dxa"/>
            <w:vAlign w:val="bottom"/>
          </w:tcPr>
          <w:p>
            <w:pPr>
              <w:spacing w:after="0"/>
              <w:rPr>
                <w:sz w:val="21"/>
                <w:szCs w:val="21"/>
                <w:color w:val="auto"/>
              </w:rPr>
            </w:pPr>
          </w:p>
        </w:tc>
      </w:tr>
      <w:tr>
        <w:trPr>
          <w:trHeight w:val="274"/>
        </w:trPr>
        <w:tc>
          <w:tcPr>
            <w:tcW w:w="7480" w:type="dxa"/>
            <w:vAlign w:val="bottom"/>
            <w:gridSpan w:val="3"/>
          </w:tcPr>
          <w:p>
            <w:pPr>
              <w:ind w:left="3900"/>
              <w:spacing w:after="0"/>
              <w:rPr>
                <w:sz w:val="20"/>
                <w:szCs w:val="20"/>
                <w:color w:val="auto"/>
              </w:rPr>
            </w:pPr>
            <w:r>
              <w:rPr>
                <w:rFonts w:ascii="Arial" w:cs="Arial" w:eastAsia="Arial" w:hAnsi="Arial"/>
                <w:sz w:val="22"/>
                <w:szCs w:val="22"/>
                <w:color w:val="auto"/>
                <w:w w:val="93"/>
              </w:rPr>
              <w:t>Title:  Executive Vice President &amp; COO</w:t>
            </w:r>
          </w:p>
        </w:tc>
        <w:tc>
          <w:tcPr>
            <w:tcW w:w="3560" w:type="dxa"/>
            <w:vAlign w:val="bottom"/>
          </w:tcPr>
          <w:p>
            <w:pPr>
              <w:spacing w:after="0"/>
              <w:rPr>
                <w:sz w:val="23"/>
                <w:szCs w:val="23"/>
                <w:color w:val="auto"/>
              </w:rPr>
            </w:pPr>
          </w:p>
        </w:tc>
      </w:tr>
      <w:tr>
        <w:trPr>
          <w:trHeight w:val="75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Beneficiary Designation</w:t>
            </w: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3"/>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4580" w:type="dxa"/>
            <w:vAlign w:val="bottom"/>
            <w:tcBorders>
              <w:left w:val="single" w:sz="8" w:color="auto"/>
              <w:bottom w:val="single" w:sz="8" w:color="C0C0C0"/>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66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4580" w:type="dxa"/>
            <w:vAlign w:val="bottom"/>
            <w:tcBorders>
              <w:top w:val="single" w:sz="8" w:color="auto"/>
              <w:left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45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181" w:lineRule="exact"/>
        <w:rPr>
          <w:sz w:val="20"/>
          <w:szCs w:val="20"/>
          <w:color w:val="auto"/>
        </w:rPr>
      </w:pPr>
    </w:p>
    <w:p>
      <w:pPr>
        <w:ind w:left="260" w:hanging="252"/>
        <w:spacing w:after="0"/>
        <w:tabs>
          <w:tab w:leader="none" w:pos="260" w:val="left"/>
        </w:tabs>
        <w:numPr>
          <w:ilvl w:val="0"/>
          <w:numId w:val="132"/>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Christopher R. Chandler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Units: 135,000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8572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240"/>
          </w:cols>
          <w:pgMar w:left="320" w:top="132" w:right="3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gridSpan w:val="2"/>
          </w:tcPr>
          <w:p>
            <w:pPr>
              <w:ind w:left="1940"/>
              <w:spacing w:after="0"/>
              <w:rPr>
                <w:sz w:val="20"/>
                <w:szCs w:val="20"/>
                <w:color w:val="auto"/>
              </w:rPr>
            </w:pPr>
            <w:r>
              <w:rPr>
                <w:rFonts w:ascii="Arial" w:cs="Arial" w:eastAsia="Arial" w:hAnsi="Arial"/>
                <w:sz w:val="18"/>
                <w:szCs w:val="18"/>
                <w:b w:val="1"/>
                <w:bCs w:val="1"/>
                <w:color w:val="auto"/>
                <w:w w:val="89"/>
              </w:rPr>
              <w:t>Exhibit 21.1</w:t>
            </w:r>
          </w:p>
        </w:tc>
      </w:tr>
      <w:tr>
        <w:trPr>
          <w:trHeight w:val="216"/>
        </w:trPr>
        <w:tc>
          <w:tcPr>
            <w:tcW w:w="4000" w:type="dxa"/>
            <w:vAlign w:val="bottom"/>
          </w:tcPr>
          <w:p>
            <w:pPr>
              <w:spacing w:after="0"/>
              <w:rPr>
                <w:sz w:val="18"/>
                <w:szCs w:val="18"/>
                <w:color w:val="auto"/>
              </w:rPr>
            </w:pPr>
          </w:p>
        </w:tc>
        <w:tc>
          <w:tcPr>
            <w:tcW w:w="7200" w:type="dxa"/>
            <w:vAlign w:val="bottom"/>
            <w:gridSpan w:val="4"/>
          </w:tcPr>
          <w:p>
            <w:pPr>
              <w:jc w:val="center"/>
              <w:ind w:right="404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4000" w:type="dxa"/>
            <w:vAlign w:val="bottom"/>
          </w:tcPr>
          <w:p>
            <w:pPr>
              <w:spacing w:after="0"/>
              <w:rPr>
                <w:sz w:val="19"/>
                <w:szCs w:val="19"/>
                <w:color w:val="auto"/>
              </w:rPr>
            </w:pPr>
          </w:p>
        </w:tc>
        <w:tc>
          <w:tcPr>
            <w:tcW w:w="7200" w:type="dxa"/>
            <w:vAlign w:val="bottom"/>
            <w:gridSpan w:val="4"/>
          </w:tcPr>
          <w:p>
            <w:pPr>
              <w:jc w:val="center"/>
              <w:ind w:right="4040"/>
              <w:spacing w:after="0"/>
              <w:rPr>
                <w:sz w:val="20"/>
                <w:szCs w:val="20"/>
                <w:color w:val="auto"/>
              </w:rPr>
            </w:pPr>
            <w:r>
              <w:rPr>
                <w:rFonts w:ascii="Arial" w:cs="Arial" w:eastAsia="Arial" w:hAnsi="Arial"/>
                <w:sz w:val="18"/>
                <w:szCs w:val="18"/>
                <w:b w:val="1"/>
                <w:bCs w:val="1"/>
                <w:color w:val="auto"/>
                <w:w w:val="98"/>
              </w:rPr>
              <w:t>PLAINS GP HOLDINGS, L.P.</w:t>
            </w:r>
          </w:p>
        </w:tc>
      </w:tr>
      <w:tr>
        <w:trPr>
          <w:trHeight w:val="230"/>
        </w:trPr>
        <w:tc>
          <w:tcPr>
            <w:tcW w:w="4000" w:type="dxa"/>
            <w:vAlign w:val="bottom"/>
          </w:tcPr>
          <w:p>
            <w:pPr>
              <w:spacing w:after="0"/>
              <w:rPr>
                <w:sz w:val="20"/>
                <w:szCs w:val="20"/>
                <w:color w:val="auto"/>
              </w:rPr>
            </w:pPr>
          </w:p>
        </w:tc>
        <w:tc>
          <w:tcPr>
            <w:tcW w:w="7200" w:type="dxa"/>
            <w:vAlign w:val="bottom"/>
            <w:gridSpan w:val="4"/>
          </w:tcPr>
          <w:p>
            <w:pPr>
              <w:jc w:val="center"/>
              <w:ind w:right="40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As of 1/1/2021</w:t>
            </w:r>
            <w:r>
              <w:rPr>
                <w:rFonts w:ascii="Arial" w:cs="Arial" w:eastAsia="Arial" w:hAnsi="Arial"/>
                <w:sz w:val="18"/>
                <w:szCs w:val="18"/>
                <w:color w:val="auto"/>
                <w:w w:val="90"/>
              </w:rPr>
              <w:t>)</w:t>
            </w:r>
          </w:p>
        </w:tc>
      </w:tr>
      <w:tr>
        <w:trPr>
          <w:trHeight w:val="210"/>
        </w:trPr>
        <w:tc>
          <w:tcPr>
            <w:tcW w:w="400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9"/>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Aurora Pipeline Company Ltd.</w:t>
            </w:r>
          </w:p>
        </w:tc>
        <w:tc>
          <w:tcPr>
            <w:tcW w:w="3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Bakersfield Crude Terminal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Cactus II Pipeline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Capline Pipeline Company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Eagle Ford Crude Terminal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FM Midstream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Niobrara Crude Terminal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PAA Finance Corp.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PAA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PAA Luxembourg S.a.r.l.</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PAA Midstream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PAA Natural Gas Canada ULC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Alberta</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PAA Service Corp.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PAA/Vulcan Gas Storage,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Plains All American Emergency Relief Fund, Inc.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Plains Marketing Bondholder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Canada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Plains Marketing, L.P.</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Plains Midstream Holdings Canada ULC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Luxembourg S.a.r.l.</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Plains Midstream Superior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Plains Pipeline Montana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Plains Rail Holdings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Plains South Texas Gathering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Nova Scotia</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PNGS GP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PPEC Bondholder,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Rancho LPG Holdings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Red River Pipeline Company LLC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Montana LLC</w:t>
            </w:r>
          </w:p>
        </w:tc>
        <w:tc>
          <w:tcPr>
            <w:tcW w:w="3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r>
    </w:tbl>
    <w:p>
      <w:pPr>
        <w:sectPr>
          <w:pgSz w:w="11900" w:h="16838" w:orient="portrait"/>
          <w:cols w:equalWidth="0" w:num="1">
            <w:col w:w="11200"/>
          </w:cols>
          <w:pgMar w:left="360" w:top="891" w:right="339"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9"/>
        </w:trPr>
        <w:tc>
          <w:tcPr>
            <w:tcW w:w="7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SG Resources Mississippi, L.L.C.</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8340" w:type="dxa"/>
            <w:vAlign w:val="bottom"/>
            <w:gridSpan w:val="2"/>
          </w:tcPr>
          <w:p>
            <w:pPr>
              <w:spacing w:after="0"/>
              <w:rPr>
                <w:sz w:val="20"/>
                <w:szCs w:val="20"/>
                <w:color w:val="auto"/>
              </w:rPr>
            </w:pPr>
            <w:r>
              <w:rPr>
                <w:rFonts w:ascii="Arial" w:cs="Arial" w:eastAsia="Arial" w:hAnsi="Arial"/>
                <w:sz w:val="18"/>
                <w:szCs w:val="18"/>
                <w:color w:val="auto"/>
              </w:rPr>
              <w:t>Sunrise Pipeline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 Hook Crude Terminal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Western Corridor Pipeline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180"/>
          </w:cols>
          <w:pgMar w:left="360" w:top="927" w:right="35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333-200596, 333-210067, 333-218463, 333-235481 and 333-235482) and on Form S-8 (No. 333-193141) of Plains GP Holdings, L.P. of our report dated February 26, 2021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380" w:right="40" w:hanging="724"/>
        <w:spacing w:after="0" w:line="263" w:lineRule="auto"/>
        <w:tabs>
          <w:tab w:leader="none" w:pos="13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80" w:right="40" w:hanging="724"/>
        <w:spacing w:after="0" w:line="263" w:lineRule="auto"/>
        <w:tabs>
          <w:tab w:leader="none" w:pos="137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80" w:right="140" w:hanging="724"/>
        <w:spacing w:after="0" w:line="342" w:lineRule="auto"/>
        <w:tabs>
          <w:tab w:leader="none" w:pos="137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right="140" w:hanging="724"/>
        <w:spacing w:after="0" w:line="263" w:lineRule="auto"/>
        <w:tabs>
          <w:tab w:leader="none" w:pos="137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2" w:lineRule="exact"/>
        <w:rPr>
          <w:sz w:val="20"/>
          <w:szCs w:val="20"/>
          <w:color w:val="auto"/>
        </w:rPr>
      </w:pPr>
    </w:p>
    <w:p>
      <w:pPr>
        <w:ind w:right="40" w:firstLine="656"/>
        <w:spacing w:after="0" w:line="308" w:lineRule="auto"/>
        <w:tabs>
          <w:tab w:leader="none" w:pos="87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80" w:right="380" w:hanging="724"/>
        <w:spacing w:after="0" w:line="342" w:lineRule="auto"/>
        <w:tabs>
          <w:tab w:leader="none" w:pos="137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60" w:hanging="724"/>
        <w:spacing w:after="0" w:line="277" w:lineRule="auto"/>
        <w:tabs>
          <w:tab w:leader="none" w:pos="137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380" w:right="40" w:hanging="724"/>
        <w:spacing w:after="0" w:line="263" w:lineRule="auto"/>
        <w:tabs>
          <w:tab w:leader="none" w:pos="13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80" w:right="40" w:hanging="724"/>
        <w:spacing w:after="0" w:line="263" w:lineRule="auto"/>
        <w:tabs>
          <w:tab w:leader="none" w:pos="137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80" w:right="140" w:hanging="724"/>
        <w:spacing w:after="0" w:line="342" w:lineRule="auto"/>
        <w:tabs>
          <w:tab w:leader="none" w:pos="137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right="140" w:hanging="724"/>
        <w:spacing w:after="0" w:line="263" w:lineRule="auto"/>
        <w:tabs>
          <w:tab w:leader="none" w:pos="137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2" w:lineRule="exact"/>
        <w:rPr>
          <w:sz w:val="20"/>
          <w:szCs w:val="20"/>
          <w:color w:val="auto"/>
        </w:rPr>
      </w:pPr>
    </w:p>
    <w:p>
      <w:pPr>
        <w:ind w:right="40" w:firstLine="656"/>
        <w:spacing w:after="0" w:line="308" w:lineRule="auto"/>
        <w:tabs>
          <w:tab w:leader="none" w:pos="87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80" w:right="380" w:hanging="724"/>
        <w:spacing w:after="0" w:line="342" w:lineRule="auto"/>
        <w:tabs>
          <w:tab w:leader="none" w:pos="137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60" w:hanging="724"/>
        <w:spacing w:after="0" w:line="277" w:lineRule="auto"/>
        <w:tabs>
          <w:tab w:leader="none" w:pos="137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52" w:lineRule="exact"/>
        <w:rPr>
          <w:sz w:val="20"/>
          <w:szCs w:val="20"/>
          <w:color w:val="auto"/>
        </w:rPr>
      </w:pPr>
    </w:p>
    <w:p>
      <w:pPr>
        <w:ind w:right="180" w:firstLine="656"/>
        <w:spacing w:after="0" w:line="263" w:lineRule="auto"/>
        <w:tabs>
          <w:tab w:leader="none" w:pos="13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2020 and filed with the Securities and Exchange Commission on the date hereof (the “Report”) by the Company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1340" w:hanging="684"/>
        <w:spacing w:after="0"/>
        <w:tabs>
          <w:tab w:leader="none" w:pos="1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26, 2021</w:t>
      </w:r>
    </w:p>
    <w:p>
      <w:pPr>
        <w:sectPr>
          <w:pgSz w:w="11900" w:h="16838" w:orient="portrait"/>
          <w:cols w:equalWidth="0" w:num="1">
            <w:col w:w="11240"/>
          </w:cols>
          <w:pgMar w:left="320" w:top="891"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2020 and filed with the Securities and Exchange Commission on the date hereof (the “Report”) by the Company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1340" w:hanging="684"/>
        <w:spacing w:after="0"/>
        <w:tabs>
          <w:tab w:leader="none" w:pos="13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26,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1)"/>
      <w:numFmt w:val="decimal"/>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1)"/>
      <w:numFmt w:val="lowerRoman"/>
      <w:start w:val="3"/>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1)"/>
      <w:numFmt w:val="decimal"/>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lowerRoman"/>
      <w:start w:val="3"/>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lowerRoman"/>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lvl w:ilvl="1">
      <w:lvlJc w:val="left"/>
      <w:lvlText w:val="◦"/>
      <w:numFmt w:val="bullet"/>
      <w:start w:val="1"/>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1)"/>
      <w:numFmt w:val="decimal"/>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1)"/>
      <w:numFmt w:val="lowerRoman"/>
      <w:start w:val="3"/>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1)"/>
      <w:numFmt w:val="lowerRoman"/>
      <w:start w:val="3"/>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1)"/>
      <w:numFmt w:val="decimal"/>
      <w:start w:val="3"/>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1)"/>
      <w:numFmt w:val="decimal"/>
      <w:start w:val="1"/>
    </w:lvl>
  </w:abstractNum>
  <w:abstractNum w:abstractNumId="60">
    <w:nsid w:val="73A1821B"/>
    <w:multiLevelType w:val="hybridMultilevel"/>
    <w:lvl w:ilvl="0">
      <w:lvlJc w:val="left"/>
      <w:lvlText w:val="(%1)"/>
      <w:numFmt w:val="decimal"/>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1)"/>
      <w:numFmt w:val="decimal"/>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1)"/>
      <w:numFmt w:val="decimal"/>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decimal"/>
      <w:start w:val="2"/>
    </w:lvl>
  </w:abstractNum>
  <w:abstractNum w:abstractNumId="67">
    <w:nsid w:val="9DAF632"/>
    <w:multiLevelType w:val="hybridMultilevel"/>
    <w:lvl w:ilvl="0">
      <w:lvlJc w:val="left"/>
      <w:lvlText w:val="(%1)"/>
      <w:numFmt w:val="decimal"/>
      <w:start w:val="3"/>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1)"/>
      <w:numFmt w:val="lowerRoman"/>
      <w:start w:val="2"/>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1)"/>
      <w:numFmt w:val="lowerRoman"/>
      <w:start w:val="3"/>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decimal"/>
      <w:start w:val="1"/>
    </w:lvl>
  </w:abstractNum>
  <w:abstractNum w:abstractNumId="76">
    <w:nsid w:val="97E1B4E"/>
    <w:multiLevelType w:val="hybridMultilevel"/>
    <w:lvl w:ilvl="0">
      <w:lvlJc w:val="left"/>
      <w:lvlText w:val="(%1)"/>
      <w:numFmt w:val="decimal"/>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1)"/>
      <w:numFmt w:val="decimal"/>
      <w:start w:val="1"/>
    </w:lvl>
  </w:abstractNum>
  <w:abstractNum w:abstractNumId="79">
    <w:nsid w:val="53584BCB"/>
    <w:multiLevelType w:val="hybridMultilevel"/>
    <w:lvl w:ilvl="0">
      <w:lvlJc w:val="left"/>
      <w:lvlText w:val="(%1)"/>
      <w:numFmt w:val="decimal"/>
      <w:start w:val="1"/>
    </w:lvl>
  </w:abstractNum>
  <w:abstractNum w:abstractNumId="80">
    <w:nsid w:val="415E286C"/>
    <w:multiLevelType w:val="hybridMultilevel"/>
    <w:lvl w:ilvl="0">
      <w:lvlJc w:val="left"/>
      <w:lvlText w:val="(%1)"/>
      <w:numFmt w:val="decimal"/>
      <w:start w:val="1"/>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
      <w:numFmt w:val="bullet"/>
      <w:start w:val="1"/>
    </w:lvl>
  </w:abstractNum>
  <w:abstractNum w:abstractNumId="83">
    <w:nsid w:val="45E6D486"/>
    <w:multiLevelType w:val="hybridMultilevel"/>
    <w:lvl w:ilvl="0">
      <w:lvlJc w:val="left"/>
      <w:lvlText w:val="(%1)"/>
      <w:numFmt w:val="decimal"/>
      <w:start w:val="3"/>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1)"/>
      <w:numFmt w:val="decimal"/>
      <w:start w:val="1"/>
    </w:lvl>
  </w:abstractNum>
  <w:abstractNum w:abstractNumId="86">
    <w:nsid w:val="3C5991AA"/>
    <w:multiLevelType w:val="hybridMultilevel"/>
    <w:lvl w:ilvl="0">
      <w:lvlJc w:val="left"/>
      <w:lvlText w:val="(%1)"/>
      <w:numFmt w:val="decimal"/>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decimal"/>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1)"/>
      <w:numFmt w:val="decimal"/>
      <w:start w:val="1"/>
    </w:lvl>
  </w:abstractNum>
  <w:abstractNum w:abstractNumId="97">
    <w:nsid w:val="1DF029D3"/>
    <w:multiLevelType w:val="hybridMultilevel"/>
    <w:lvl w:ilvl="0">
      <w:lvlJc w:val="left"/>
      <w:lvlText w:val="(%1)"/>
      <w:numFmt w:val="decimal"/>
      <w:start w:val="1"/>
    </w:lvl>
  </w:abstractNum>
  <w:abstractNum w:abstractNumId="98">
    <w:nsid w:val="5675FF36"/>
    <w:multiLevelType w:val="hybridMultilevel"/>
    <w:lvl w:ilvl="0">
      <w:lvlJc w:val="left"/>
      <w:lvlText w:val="(%1)"/>
      <w:numFmt w:val="lowerRoman"/>
      <w:start w:val="4"/>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1)"/>
      <w:numFmt w:val="decimal"/>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
      <w:numFmt w:val="bullet"/>
      <w:start w:val="1"/>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1)"/>
      <w:numFmt w:val="decimal"/>
      <w:start w:val="1"/>
    </w:lvl>
  </w:abstractNum>
  <w:abstractNum w:abstractNumId="110">
    <w:nsid w:val="2C6E4AFD"/>
    <w:multiLevelType w:val="hybridMultilevel"/>
    <w:lvl w:ilvl="0">
      <w:lvlJc w:val="left"/>
      <w:lvlText w:val="(%1)"/>
      <w:numFmt w:val="decimal"/>
      <w:start w:val="1"/>
    </w:lvl>
  </w:abstractNum>
  <w:abstractNum w:abstractNumId="111">
    <w:nsid w:val="17A1B582"/>
    <w:multiLevelType w:val="hybridMultilevel"/>
    <w:lvl w:ilvl="0">
      <w:lvlJc w:val="left"/>
      <w:lvlText w:val="(%1)"/>
      <w:numFmt w:val="decimal"/>
      <w:start w:val="7"/>
    </w:lvl>
  </w:abstractNum>
  <w:abstractNum w:abstractNumId="112">
    <w:nsid w:val="4DF72E4E"/>
    <w:multiLevelType w:val="hybridMultilevel"/>
    <w:lvl w:ilvl="0">
      <w:lvlJc w:val="left"/>
      <w:lvlText w:val="(%1)"/>
      <w:numFmt w:val="decimal"/>
      <w:start w:val="1"/>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
      <w:numFmt w:val="bullet"/>
      <w:start w:val="1"/>
    </w:lvl>
  </w:abstractNum>
  <w:abstractNum w:abstractNumId="115">
    <w:nsid w:val="2A082C70"/>
    <w:multiLevelType w:val="hybridMultilevel"/>
    <w:lvl w:ilvl="0">
      <w:lvlJc w:val="left"/>
      <w:lvlText w:val="•"/>
      <w:numFmt w:val="bullet"/>
      <w:start w:val="1"/>
    </w:lvl>
  </w:abstractNum>
  <w:abstractNum w:abstractNumId="116">
    <w:nsid w:val="5EC6AFD4"/>
    <w:multiLevelType w:val="hybridMultilevel"/>
    <w:lvl w:ilvl="0">
      <w:lvlJc w:val="left"/>
      <w:lvlText w:val="(%1)"/>
      <w:numFmt w:val="lowerRoman"/>
      <w:start w:val="2"/>
    </w:lvl>
  </w:abstractNum>
  <w:abstractNum w:abstractNumId="117">
    <w:nsid w:val="19E21BB2"/>
    <w:multiLevelType w:val="hybridMultilevel"/>
    <w:lvl w:ilvl="0">
      <w:lvlJc w:val="left"/>
      <w:lvlText w:val="%1."/>
      <w:numFmt w:val="decimal"/>
      <w:start w:val="1"/>
    </w:lvl>
    <w:lvl w:ilvl="1">
      <w:lvlJc w:val="left"/>
      <w:lvlText w:val="%2."/>
      <w:numFmt w:val="lowerLetter"/>
      <w:start w:val="1"/>
    </w:lvl>
  </w:abstractNum>
  <w:abstractNum w:abstractNumId="118">
    <w:nsid w:val="75E0858A"/>
    <w:multiLevelType w:val="hybridMultilevel"/>
    <w:lvl w:ilvl="0">
      <w:lvlJc w:val="left"/>
      <w:lvlText w:val="%1."/>
      <w:numFmt w:val="decimal"/>
      <w:start w:val="2"/>
    </w:lvl>
  </w:abstractNum>
  <w:abstractNum w:abstractNumId="119">
    <w:nsid w:val="57A61A29"/>
    <w:multiLevelType w:val="hybridMultilevel"/>
    <w:lvl w:ilvl="0">
      <w:lvlJc w:val="left"/>
      <w:lvlText w:val="%1."/>
      <w:numFmt w:val="decimal"/>
      <w:start w:val="6"/>
    </w:lvl>
  </w:abstractNum>
  <w:abstractNum w:abstractNumId="120">
    <w:nsid w:val="5399C654"/>
    <w:multiLevelType w:val="hybridMultilevel"/>
    <w:lvl w:ilvl="0">
      <w:lvlJc w:val="left"/>
      <w:lvlText w:val="%1."/>
      <w:numFmt w:val="decimal"/>
      <w:start w:val="7"/>
    </w:lvl>
  </w:abstractNum>
  <w:abstractNum w:abstractNumId="121">
    <w:nsid w:val="20EE1348"/>
    <w:multiLevelType w:val="hybridMultilevel"/>
    <w:lvl w:ilvl="0">
      <w:lvlJc w:val="left"/>
      <w:lvlText w:val="(%1)"/>
      <w:numFmt w:val="lowerRoman"/>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1."/>
      <w:numFmt w:val="decimal"/>
      <w:start w:val="1"/>
    </w:lvl>
  </w:abstractNum>
  <w:abstractNum w:abstractNumId="124">
    <w:nsid w:val="2157F6BC"/>
    <w:multiLevelType w:val="hybridMultilevel"/>
    <w:lvl w:ilvl="0">
      <w:lvlJc w:val="left"/>
      <w:lvlText w:val="%1."/>
      <w:numFmt w:val="decimal"/>
      <w:start w:val="6"/>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1."/>
      <w:numFmt w:val="decimal"/>
      <w:start w:val="1"/>
    </w:lvl>
  </w:abstractNum>
  <w:abstractNum w:abstractNumId="127">
    <w:nsid w:val="BFFAE18"/>
    <w:multiLevelType w:val="hybridMultilevel"/>
    <w:lvl w:ilvl="0">
      <w:lvlJc w:val="left"/>
      <w:lvlText w:val="%1."/>
      <w:numFmt w:val="decimal"/>
      <w:start w:val="6"/>
    </w:lvl>
  </w:abstractNum>
  <w:abstractNum w:abstractNumId="128">
    <w:nsid w:val="E3E47A8"/>
    <w:multiLevelType w:val="hybridMultilevel"/>
    <w:lvl w:ilvl="0">
      <w:lvlJc w:val="left"/>
      <w:lvlText w:val="☐"/>
      <w:numFmt w:val="bullet"/>
      <w:start w:val="1"/>
    </w:lvl>
  </w:abstractNum>
  <w:abstractNum w:abstractNumId="129">
    <w:nsid w:val="2E48F044"/>
    <w:multiLevelType w:val="hybridMultilevel"/>
    <w:lvl w:ilvl="0">
      <w:lvlJc w:val="left"/>
      <w:lvlText w:val="%1."/>
      <w:numFmt w:val="decimal"/>
      <w:start w:val="1"/>
    </w:lvl>
  </w:abstractNum>
  <w:abstractNum w:abstractNumId="130">
    <w:nsid w:val="49D0FEAC"/>
    <w:multiLevelType w:val="hybridMultilevel"/>
    <w:lvl w:ilvl="0">
      <w:lvlJc w:val="left"/>
      <w:lvlText w:val="%1."/>
      <w:numFmt w:val="decimal"/>
      <w:start w:val="6"/>
    </w:lvl>
  </w:abstractNum>
  <w:abstractNum w:abstractNumId="131">
    <w:nsid w:val="4BEE5A5B"/>
    <w:multiLevelType w:val="hybridMultilevel"/>
    <w:lvl w:ilvl="0">
      <w:lvlJc w:val="left"/>
      <w:lvlText w:val="☐"/>
      <w:numFmt w:val="bullet"/>
      <w:start w:val="1"/>
    </w:lvl>
  </w:abstractNum>
  <w:abstractNum w:abstractNumId="132">
    <w:nsid w:val="5551B9F3"/>
    <w:multiLevelType w:val="hybridMultilevel"/>
    <w:lvl w:ilvl="0">
      <w:lvlJc w:val="left"/>
      <w:lvlText w:val="%1."/>
      <w:numFmt w:val="decimal"/>
      <w:start w:val="1"/>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decimal"/>
      <w:start w:val="5"/>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decimal"/>
      <w:start w:val="1"/>
    </w:lvl>
  </w:abstractNum>
  <w:abstractNum w:abstractNumId="137">
    <w:nsid w:val="1849C29B"/>
    <w:multiLevelType w:val="hybridMultilevel"/>
    <w:lvl w:ilvl="0">
      <w:lvlJc w:val="left"/>
      <w:lvlText w:val="(%1)"/>
      <w:numFmt w:val="lowerLetter"/>
      <w:start w:val="1"/>
    </w:lvl>
  </w:abstractNum>
  <w:abstractNum w:abstractNumId="138">
    <w:nsid w:val="7DFF9D09"/>
    <w:multiLevelType w:val="hybridMultilevel"/>
    <w:lvl w:ilvl="0">
      <w:lvlJc w:val="left"/>
      <w:lvlText w:val="%1."/>
      <w:numFmt w:val="decimal"/>
      <w:start w:val="5"/>
    </w:lvl>
  </w:abstractNum>
  <w:abstractNum w:abstractNumId="139">
    <w:nsid w:val="754342"/>
    <w:multiLevelType w:val="hybridMultilevel"/>
    <w:lvl w:ilvl="0">
      <w:lvlJc w:val="left"/>
      <w:lvlText w:val="(%1)"/>
      <w:numFmt w:val="lowerLetter"/>
      <w:start w:val="1"/>
    </w:lvl>
  </w:abstractNum>
  <w:abstractNum w:abstractNumId="140">
    <w:nsid w:val="69E7F3E5"/>
    <w:multiLevelType w:val="hybridMultilevel"/>
    <w:lvl w:ilvl="0">
      <w:lvlJc w:val="left"/>
      <w:lvlText w:val="(%1)"/>
      <w:numFmt w:val="lowerRoman"/>
      <w:start w:val="1"/>
    </w:lvl>
  </w:abstractNum>
  <w:abstractNum w:abstractNumId="141">
    <w:nsid w:val="2A6DE80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5" Type="http://schemas.openxmlformats.org/officeDocument/2006/relationships/image" Target="media/image147.png"/><Relationship Id="rId182" Type="http://schemas.openxmlformats.org/officeDocument/2006/relationships/image" Target="media/image148.png"/><Relationship Id="rId195" Type="http://schemas.openxmlformats.org/officeDocument/2006/relationships/image" Target="media/image149.png"/><Relationship Id="rId210" Type="http://schemas.openxmlformats.org/officeDocument/2006/relationships/image" Target="media/image150.png"/><Relationship Id="rId230" Type="http://schemas.openxmlformats.org/officeDocument/2006/relationships/image" Target="media/image151.png"/><Relationship Id="rId245" Type="http://schemas.openxmlformats.org/officeDocument/2006/relationships/image" Target="media/image152.png"/><Relationship Id="rId246" Type="http://schemas.openxmlformats.org/officeDocument/2006/relationships/image" Target="media/image153.png"/><Relationship Id="rId247" Type="http://schemas.openxmlformats.org/officeDocument/2006/relationships/image" Target="media/image154.png"/><Relationship Id="rId248" Type="http://schemas.openxmlformats.org/officeDocument/2006/relationships/image" Target="media/image155.png"/><Relationship Id="rId249" Type="http://schemas.openxmlformats.org/officeDocument/2006/relationships/image" Target="media/image156.png"/><Relationship Id="rId250" Type="http://schemas.openxmlformats.org/officeDocument/2006/relationships/image" Target="media/image157.png"/><Relationship Id="rId251" Type="http://schemas.openxmlformats.org/officeDocument/2006/relationships/image" Target="media/image158.png"/><Relationship Id="rId252" Type="http://schemas.openxmlformats.org/officeDocument/2006/relationships/image" Target="media/image159.png"/><Relationship Id="rId253" Type="http://schemas.openxmlformats.org/officeDocument/2006/relationships/image" Target="media/image160.png"/><Relationship Id="rId254" Type="http://schemas.openxmlformats.org/officeDocument/2006/relationships/image" Target="media/image161.png"/><Relationship Id="rId255" Type="http://schemas.openxmlformats.org/officeDocument/2006/relationships/image" Target="media/image162.png"/><Relationship Id="rId256" Type="http://schemas.openxmlformats.org/officeDocument/2006/relationships/image" Target="media/image163.png"/><Relationship Id="rId257" Type="http://schemas.openxmlformats.org/officeDocument/2006/relationships/image" Target="media/image164.png"/><Relationship Id="rId258" Type="http://schemas.openxmlformats.org/officeDocument/2006/relationships/image" Target="media/image165.png"/><Relationship Id="rId259" Type="http://schemas.openxmlformats.org/officeDocument/2006/relationships/image" Target="media/image166.png"/><Relationship Id="rId260" Type="http://schemas.openxmlformats.org/officeDocument/2006/relationships/image" Target="media/image167.png"/><Relationship Id="rId261" Type="http://schemas.openxmlformats.org/officeDocument/2006/relationships/image" Target="media/image168.png"/><Relationship Id="rId262" Type="http://schemas.openxmlformats.org/officeDocument/2006/relationships/image" Target="media/image169.png"/><Relationship Id="rId263" Type="http://schemas.openxmlformats.org/officeDocument/2006/relationships/image" Target="media/image170.png"/><Relationship Id="rId264" Type="http://schemas.openxmlformats.org/officeDocument/2006/relationships/image" Target="media/image171.png"/><Relationship Id="rId265" Type="http://schemas.openxmlformats.org/officeDocument/2006/relationships/image" Target="media/image172.png"/><Relationship Id="rId266" Type="http://schemas.openxmlformats.org/officeDocument/2006/relationships/image" Target="media/image173.png"/><Relationship Id="rId267" Type="http://schemas.openxmlformats.org/officeDocument/2006/relationships/image" Target="media/image174.png"/><Relationship Id="rId268" Type="http://schemas.openxmlformats.org/officeDocument/2006/relationships/image" Target="media/image175.png"/><Relationship Id="rId269" Type="http://schemas.openxmlformats.org/officeDocument/2006/relationships/image" Target="media/image176.png"/><Relationship Id="rId270" Type="http://schemas.openxmlformats.org/officeDocument/2006/relationships/image" Target="media/image177.png"/><Relationship Id="rId271" Type="http://schemas.openxmlformats.org/officeDocument/2006/relationships/image" Target="media/image178.png"/><Relationship Id="rId272" Type="http://schemas.openxmlformats.org/officeDocument/2006/relationships/image" Target="media/image179.png"/><Relationship Id="rId273" Type="http://schemas.openxmlformats.org/officeDocument/2006/relationships/image" Target="media/image180.png"/><Relationship Id="rId274" Type="http://schemas.openxmlformats.org/officeDocument/2006/relationships/image" Target="media/image181.png"/><Relationship Id="rId275" Type="http://schemas.openxmlformats.org/officeDocument/2006/relationships/image" Target="media/image182.png"/><Relationship Id="rId276" Type="http://schemas.openxmlformats.org/officeDocument/2006/relationships/image" Target="media/image183.png"/><Relationship Id="rId277" Type="http://schemas.openxmlformats.org/officeDocument/2006/relationships/image" Target="media/image184.png"/><Relationship Id="rId278" Type="http://schemas.openxmlformats.org/officeDocument/2006/relationships/image" Target="media/image185.png"/><Relationship Id="rId279" Type="http://schemas.openxmlformats.org/officeDocument/2006/relationships/image" Target="media/image186.png"/><Relationship Id="rId280" Type="http://schemas.openxmlformats.org/officeDocument/2006/relationships/image" Target="media/image187.png"/><Relationship Id="rId281" Type="http://schemas.openxmlformats.org/officeDocument/2006/relationships/image" Target="media/image188.png"/><Relationship Id="rId282" Type="http://schemas.openxmlformats.org/officeDocument/2006/relationships/image" Target="media/image189.png"/><Relationship Id="rId283" Type="http://schemas.openxmlformats.org/officeDocument/2006/relationships/image" Target="media/image190.png"/><Relationship Id="rId284" Type="http://schemas.openxmlformats.org/officeDocument/2006/relationships/image" Target="media/image191.png"/><Relationship Id="rId285" Type="http://schemas.openxmlformats.org/officeDocument/2006/relationships/image" Target="media/image192.png"/><Relationship Id="rId286" Type="http://schemas.openxmlformats.org/officeDocument/2006/relationships/image" Target="media/image193.png"/><Relationship Id="rId287" Type="http://schemas.openxmlformats.org/officeDocument/2006/relationships/image" Target="media/image194.png"/><Relationship Id="rId288" Type="http://schemas.openxmlformats.org/officeDocument/2006/relationships/image" Target="media/image195.png"/><Relationship Id="rId289" Type="http://schemas.openxmlformats.org/officeDocument/2006/relationships/image" Target="media/image196.png"/><Relationship Id="rId290" Type="http://schemas.openxmlformats.org/officeDocument/2006/relationships/image" Target="media/image197.png"/><Relationship Id="rId291" Type="http://schemas.openxmlformats.org/officeDocument/2006/relationships/image" Target="media/image198.png"/><Relationship Id="rId292" Type="http://schemas.openxmlformats.org/officeDocument/2006/relationships/image" Target="media/image199.png"/><Relationship Id="rId293" Type="http://schemas.openxmlformats.org/officeDocument/2006/relationships/image" Target="media/image200.png"/><Relationship Id="rId294" Type="http://schemas.openxmlformats.org/officeDocument/2006/relationships/image" Target="media/image201.png"/><Relationship Id="rId295" Type="http://schemas.openxmlformats.org/officeDocument/2006/relationships/image" Target="media/image202.png"/><Relationship Id="rId296" Type="http://schemas.openxmlformats.org/officeDocument/2006/relationships/image" Target="media/image203.png"/><Relationship Id="rId297" Type="http://schemas.openxmlformats.org/officeDocument/2006/relationships/image" Target="media/image204.png"/><Relationship Id="rId298" Type="http://schemas.openxmlformats.org/officeDocument/2006/relationships/image" Target="media/image205.png"/><Relationship Id="rId299" Type="http://schemas.openxmlformats.org/officeDocument/2006/relationships/image" Target="media/image206.png"/><Relationship Id="rId300" Type="http://schemas.openxmlformats.org/officeDocument/2006/relationships/image" Target="media/image207.png"/><Relationship Id="rId301" Type="http://schemas.openxmlformats.org/officeDocument/2006/relationships/image" Target="media/image208.png"/><Relationship Id="rId302" Type="http://schemas.openxmlformats.org/officeDocument/2006/relationships/image" Target="media/image209.png"/><Relationship Id="rId303" Type="http://schemas.openxmlformats.org/officeDocument/2006/relationships/image" Target="media/image210.png"/><Relationship Id="rId304" Type="http://schemas.openxmlformats.org/officeDocument/2006/relationships/image" Target="media/image211.png"/><Relationship Id="rId305" Type="http://schemas.openxmlformats.org/officeDocument/2006/relationships/image" Target="media/image212.png"/><Relationship Id="rId306" Type="http://schemas.openxmlformats.org/officeDocument/2006/relationships/image" Target="media/image213.png"/><Relationship Id="rId307" Type="http://schemas.openxmlformats.org/officeDocument/2006/relationships/image" Target="media/image214.png"/><Relationship Id="rId308" Type="http://schemas.openxmlformats.org/officeDocument/2006/relationships/image" Target="media/image215.png"/><Relationship Id="rId309" Type="http://schemas.openxmlformats.org/officeDocument/2006/relationships/image" Target="media/image216.png"/><Relationship Id="rId310" Type="http://schemas.openxmlformats.org/officeDocument/2006/relationships/image" Target="media/image217.png"/><Relationship Id="rId311" Type="http://schemas.openxmlformats.org/officeDocument/2006/relationships/image" Target="media/image218.png"/><Relationship Id="rId312" Type="http://schemas.openxmlformats.org/officeDocument/2006/relationships/image" Target="media/image219.png"/><Relationship Id="rId313" Type="http://schemas.openxmlformats.org/officeDocument/2006/relationships/image" Target="media/image220.png"/><Relationship Id="rId314" Type="http://schemas.openxmlformats.org/officeDocument/2006/relationships/image" Target="media/image221.png"/><Relationship Id="rId315" Type="http://schemas.openxmlformats.org/officeDocument/2006/relationships/image" Target="media/image222.png"/><Relationship Id="rId316" Type="http://schemas.openxmlformats.org/officeDocument/2006/relationships/image" Target="media/image223.png"/><Relationship Id="rId317" Type="http://schemas.openxmlformats.org/officeDocument/2006/relationships/image" Target="media/image224.png"/><Relationship Id="rId318" Type="http://schemas.openxmlformats.org/officeDocument/2006/relationships/image" Target="media/image225.png"/><Relationship Id="rId319" Type="http://schemas.openxmlformats.org/officeDocument/2006/relationships/image" Target="media/image226.png"/><Relationship Id="rId320" Type="http://schemas.openxmlformats.org/officeDocument/2006/relationships/image" Target="media/image227.png"/><Relationship Id="rId321" Type="http://schemas.openxmlformats.org/officeDocument/2006/relationships/image" Target="media/image228.png"/><Relationship Id="rId322" Type="http://schemas.openxmlformats.org/officeDocument/2006/relationships/image" Target="media/image229.png"/><Relationship Id="rId323" Type="http://schemas.openxmlformats.org/officeDocument/2006/relationships/image" Target="media/image230.png"/><Relationship Id="rId324" Type="http://schemas.openxmlformats.org/officeDocument/2006/relationships/image" Target="media/image231.png"/><Relationship Id="rId325" Type="http://schemas.openxmlformats.org/officeDocument/2006/relationships/image" Target="media/image232.png"/><Relationship Id="rId326" Type="http://schemas.openxmlformats.org/officeDocument/2006/relationships/image" Target="media/image233.png"/><Relationship Id="rId327" Type="http://schemas.openxmlformats.org/officeDocument/2006/relationships/image" Target="media/image234.png"/><Relationship Id="rId328" Type="http://schemas.openxmlformats.org/officeDocument/2006/relationships/image" Target="media/image235.png"/><Relationship Id="rId329" Type="http://schemas.openxmlformats.org/officeDocument/2006/relationships/image" Target="media/image236.png"/><Relationship Id="rId330" Type="http://schemas.openxmlformats.org/officeDocument/2006/relationships/image" Target="media/image237.png"/><Relationship Id="rId331" Type="http://schemas.openxmlformats.org/officeDocument/2006/relationships/image" Target="media/image238.png"/><Relationship Id="rId332" Type="http://schemas.openxmlformats.org/officeDocument/2006/relationships/image" Target="media/image239.png"/><Relationship Id="rId333" Type="http://schemas.openxmlformats.org/officeDocument/2006/relationships/image" Target="media/image240.png"/><Relationship Id="rId334" Type="http://schemas.openxmlformats.org/officeDocument/2006/relationships/image" Target="media/image241.png"/><Relationship Id="rId335" Type="http://schemas.openxmlformats.org/officeDocument/2006/relationships/image" Target="media/image242.png"/><Relationship Id="rId336" Type="http://schemas.openxmlformats.org/officeDocument/2006/relationships/image" Target="media/image243.png"/><Relationship Id="rId337" Type="http://schemas.openxmlformats.org/officeDocument/2006/relationships/image" Target="media/image244.png"/><Relationship Id="rId338" Type="http://schemas.openxmlformats.org/officeDocument/2006/relationships/image" Target="media/image245.png"/><Relationship Id="rId339" Type="http://schemas.openxmlformats.org/officeDocument/2006/relationships/image" Target="media/image246.png"/><Relationship Id="rId340" Type="http://schemas.openxmlformats.org/officeDocument/2006/relationships/image" Target="media/image247.png"/><Relationship Id="rId341" Type="http://schemas.openxmlformats.org/officeDocument/2006/relationships/image" Target="media/image248.png"/><Relationship Id="rId342" Type="http://schemas.openxmlformats.org/officeDocument/2006/relationships/image" Target="media/image249.png"/><Relationship Id="rId343" Type="http://schemas.openxmlformats.org/officeDocument/2006/relationships/image" Target="media/image250.png"/><Relationship Id="rId344" Type="http://schemas.openxmlformats.org/officeDocument/2006/relationships/image" Target="media/image251.png"/><Relationship Id="rId345" Type="http://schemas.openxmlformats.org/officeDocument/2006/relationships/image" Target="media/image252.png"/><Relationship Id="rId346" Type="http://schemas.openxmlformats.org/officeDocument/2006/relationships/image" Target="media/image253.png"/><Relationship Id="rId347" Type="http://schemas.openxmlformats.org/officeDocument/2006/relationships/image" Target="media/image254.png"/><Relationship Id="rId348" Type="http://schemas.openxmlformats.org/officeDocument/2006/relationships/image" Target="media/image255.png"/><Relationship Id="rId349" Type="http://schemas.openxmlformats.org/officeDocument/2006/relationships/image" Target="media/image256.png"/><Relationship Id="rId350" Type="http://schemas.openxmlformats.org/officeDocument/2006/relationships/image" Target="media/image257.png"/><Relationship Id="rId351" Type="http://schemas.openxmlformats.org/officeDocument/2006/relationships/image" Target="media/image258.png"/><Relationship Id="rId352" Type="http://schemas.openxmlformats.org/officeDocument/2006/relationships/image" Target="media/image259.png"/><Relationship Id="rId353" Type="http://schemas.openxmlformats.org/officeDocument/2006/relationships/image" Target="media/image260.png"/><Relationship Id="rId354" Type="http://schemas.openxmlformats.org/officeDocument/2006/relationships/image" Target="media/image261.png"/><Relationship Id="rId355" Type="http://schemas.openxmlformats.org/officeDocument/2006/relationships/image" Target="media/image262.png"/><Relationship Id="rId356" Type="http://schemas.openxmlformats.org/officeDocument/2006/relationships/image" Target="media/image263.png"/><Relationship Id="rId357" Type="http://schemas.openxmlformats.org/officeDocument/2006/relationships/image" Target="media/image264.png"/><Relationship Id="rId358" Type="http://schemas.openxmlformats.org/officeDocument/2006/relationships/image" Target="media/image265.png"/><Relationship Id="rId359" Type="http://schemas.openxmlformats.org/officeDocument/2006/relationships/image" Target="media/image266.png"/><Relationship Id="rId360" Type="http://schemas.openxmlformats.org/officeDocument/2006/relationships/image" Target="media/image267.png"/><Relationship Id="rId361" Type="http://schemas.openxmlformats.org/officeDocument/2006/relationships/image" Target="media/image268.png"/><Relationship Id="rId362" Type="http://schemas.openxmlformats.org/officeDocument/2006/relationships/image" Target="media/image269.png"/><Relationship Id="rId363" Type="http://schemas.openxmlformats.org/officeDocument/2006/relationships/image" Target="media/image270.png"/><Relationship Id="rId364" Type="http://schemas.openxmlformats.org/officeDocument/2006/relationships/image" Target="media/image271.png"/><Relationship Id="rId365" Type="http://schemas.openxmlformats.org/officeDocument/2006/relationships/image" Target="media/image272.png"/><Relationship Id="rId366" Type="http://schemas.openxmlformats.org/officeDocument/2006/relationships/image" Target="media/image273.png"/><Relationship Id="rId367" Type="http://schemas.openxmlformats.org/officeDocument/2006/relationships/image" Target="media/image274.png"/><Relationship Id="rId368" Type="http://schemas.openxmlformats.org/officeDocument/2006/relationships/image" Target="media/image275.png"/><Relationship Id="rId369" Type="http://schemas.openxmlformats.org/officeDocument/2006/relationships/image" Target="media/image276.png"/><Relationship Id="rId370" Type="http://schemas.openxmlformats.org/officeDocument/2006/relationships/image" Target="media/image277.jpeg"/><Relationship Id="rId371" Type="http://schemas.openxmlformats.org/officeDocument/2006/relationships/image" Target="media/image278.jpeg"/><Relationship Id="rId372" Type="http://schemas.openxmlformats.org/officeDocument/2006/relationships/image" Target="media/image279.png"/><Relationship Id="rId373" Type="http://schemas.openxmlformats.org/officeDocument/2006/relationships/image" Target="media/image280.jpeg"/><Relationship Id="rId374" Type="http://schemas.openxmlformats.org/officeDocument/2006/relationships/image" Target="media/image281.png"/><Relationship Id="rId375" Type="http://schemas.openxmlformats.org/officeDocument/2006/relationships/image" Target="media/image282.jpeg"/><Relationship Id="rId376" Type="http://schemas.openxmlformats.org/officeDocument/2006/relationships/image" Target="media/image283.png"/><Relationship Id="rId377" Type="http://schemas.openxmlformats.org/officeDocument/2006/relationships/image" Target="media/image284.png"/><Relationship Id="rId378" Type="http://schemas.openxmlformats.org/officeDocument/2006/relationships/image" Target="media/image285.png"/><Relationship Id="rId379" Type="http://schemas.openxmlformats.org/officeDocument/2006/relationships/image" Target="media/image286.png"/><Relationship Id="rId380" Type="http://schemas.openxmlformats.org/officeDocument/2006/relationships/image" Target="media/image287.png"/><Relationship Id="rId154" Type="http://schemas.openxmlformats.org/officeDocument/2006/relationships/hyperlink" Target="http://www.sec.gov/Archives/edgar/data/1070423/000110465916132668/a16-14925_1ex2d1.htm" TargetMode="External"/><Relationship Id="rId155" Type="http://schemas.openxmlformats.org/officeDocument/2006/relationships/hyperlink" Target="http://www.sec.gov/Archives/edgar/data/1070423/000107042317000009/paa03312017exhibit21.htm" TargetMode="External"/><Relationship Id="rId156" Type="http://schemas.openxmlformats.org/officeDocument/2006/relationships/hyperlink" Target="http://www.sec.gov/Archives/edgar/data/1070423/000107042317000009/paa03312017exhibit22.htm" TargetMode="External"/><Relationship Id="rId157" Type="http://schemas.openxmlformats.org/officeDocument/2006/relationships/hyperlink" Target="http://www.sec.gov/Archives/edgar/data/1070423/000110465917061889/a17-22685_5ex3d1.htm" TargetMode="External"/><Relationship Id="rId158" Type="http://schemas.openxmlformats.org/officeDocument/2006/relationships/hyperlink" Target="http://www.sec.gov/Archives/edgar/data/1070423/000110465916158355/a16-21841_1ex3d3.htm" TargetMode="External"/><Relationship Id="rId159" Type="http://schemas.openxmlformats.org/officeDocument/2006/relationships/hyperlink" Target="http://www.sec.gov/Archives/edgar/data/1070423/000110465916158355/a16-21841_1ex3d4.htm" TargetMode="External"/><Relationship Id="rId160" Type="http://schemas.openxmlformats.org/officeDocument/2006/relationships/hyperlink" Target="http://www.sec.gov/Archives/edgar/data/1581990/000110465918060012/a18-36197_1ex3d1.htm" TargetMode="External"/><Relationship Id="rId161" Type="http://schemas.openxmlformats.org/officeDocument/2006/relationships/hyperlink" Target="http://www.sec.gov/Archives/edgar/data/1581990/000110465919032813/a19-10857_1ex3d1.htm" TargetMode="External"/><Relationship Id="rId162" Type="http://schemas.openxmlformats.org/officeDocument/2006/relationships/hyperlink" Target="http://www.sec.gov/Archives/edgar/data/1070423/000095012908000071/h52770exv3w3.htm" TargetMode="External"/><Relationship Id="rId163" Type="http://schemas.openxmlformats.org/officeDocument/2006/relationships/hyperlink" Target="http://www.sec.gov/Archives/edgar/data/1581990/000104746913007875/a2216069zex-3_1.htm" TargetMode="External"/><Relationship Id="rId164" Type="http://schemas.openxmlformats.org/officeDocument/2006/relationships/hyperlink" Target="http://www.sec.gov/Archives/edgar/data/1581990/000110465916158356/a16-21845_1ex3d2.htm" TargetMode="External"/><Relationship Id="rId166" Type="http://schemas.openxmlformats.org/officeDocument/2006/relationships/hyperlink" Target="http://www.sec.gov/Archives/edgar/data/1581990/000158199020000012/exhibit31.htm" TargetMode="External"/><Relationship Id="rId167" Type="http://schemas.openxmlformats.org/officeDocument/2006/relationships/hyperlink" Target="http://www.sec.gov/Archives/edgar/data/1581990/000104746913007875/a2216069zex-3_3.htm" TargetMode="External"/><Relationship Id="rId168" Type="http://schemas.openxmlformats.org/officeDocument/2006/relationships/hyperlink" Target="http://www.sec.gov/Archives/edgar/data/1581990/000110465917010602/a17-6893_1ex3d1.htm" TargetMode="External"/><Relationship Id="rId169" Type="http://schemas.openxmlformats.org/officeDocument/2006/relationships/hyperlink" Target="http://www.sec.gov/Archives/edgar/data/1581990/000110465918052852/a18-18386_2ex3d1.htm" TargetMode="External"/><Relationship Id="rId170" Type="http://schemas.openxmlformats.org/officeDocument/2006/relationships/hyperlink" Target="http://www.sec.gov/Archives/edgar/data/1581990/000110465918072385/a18-41342_1ex3d1.htm" TargetMode="External"/><Relationship Id="rId171" Type="http://schemas.openxmlformats.org/officeDocument/2006/relationships/hyperlink" Target="http://www.sec.gov/Archives/edgar/data/1581990/000110465919067784/tm1923980d1_ex3-1.htm" TargetMode="External"/><Relationship Id="rId172" Type="http://schemas.openxmlformats.org/officeDocument/2006/relationships/hyperlink" Target="http://www.sec.gov/Archives/edgar/data/1070423/000089924302002834/dex41.txt" TargetMode="External"/><Relationship Id="rId173" Type="http://schemas.openxmlformats.org/officeDocument/2006/relationships/hyperlink" Target="http://www.sec.gov/Archives/edgar/data/1070423/000110465906034368/a06-11663_1ex4d1.htm" TargetMode="External"/><Relationship Id="rId174" Type="http://schemas.openxmlformats.org/officeDocument/2006/relationships/hyperlink" Target="http://www.sec.gov/Archives/edgar/data/1070423/000095012906009235/h40667exv4w2.htm" TargetMode="External"/><Relationship Id="rId175" Type="http://schemas.openxmlformats.org/officeDocument/2006/relationships/hyperlink" Target="http://www.sec.gov/Archives/edgar/data/1070423/000119312512132295/d321017dex41.htm" TargetMode="External"/><Relationship Id="rId176" Type="http://schemas.openxmlformats.org/officeDocument/2006/relationships/hyperlink" Target="http://www.sec.gov/Archives/edgar/data/1070423/000119312512132295/d321017dex43.htm" TargetMode="External"/><Relationship Id="rId177" Type="http://schemas.openxmlformats.org/officeDocument/2006/relationships/hyperlink" Target="http://www.sec.gov/Archives/edgar/data/1070423/000119312512499932/d453762dex41.htm" TargetMode="External"/><Relationship Id="rId178" Type="http://schemas.openxmlformats.org/officeDocument/2006/relationships/hyperlink" Target="http://www.sec.gov/Archives/edgar/data/1070423/000119312512499932/d453762dex43.htm" TargetMode="External"/><Relationship Id="rId179" Type="http://schemas.openxmlformats.org/officeDocument/2006/relationships/hyperlink" Target="http://www.sec.gov/Archives/edgar/data/1070423/000119312513336066/d581734dex41.htm" TargetMode="External"/><Relationship Id="rId180" Type="http://schemas.openxmlformats.org/officeDocument/2006/relationships/hyperlink" Target="http://www.sec.gov/Archives/edgar/data/1070423/000119312514164183/d713938dex41.htm" TargetMode="External"/><Relationship Id="rId181" Type="http://schemas.openxmlformats.org/officeDocument/2006/relationships/hyperlink" Target="http://www.sec.gov/Archives/edgar/data/1070423/000119312514338289/d787160dex41.htm" TargetMode="External"/><Relationship Id="rId183" Type="http://schemas.openxmlformats.org/officeDocument/2006/relationships/hyperlink" Target="http://www.sec.gov/Archives/edgar/data/1070423/000119312514440007/d833885dex43.htm" TargetMode="External"/><Relationship Id="rId184" Type="http://schemas.openxmlformats.org/officeDocument/2006/relationships/hyperlink" Target="http://www.sec.gov/Archives/edgar/data/1070423/000119312515302829/d45393dex41.htm" TargetMode="External"/><Relationship Id="rId185" Type="http://schemas.openxmlformats.org/officeDocument/2006/relationships/hyperlink" Target="http://www.sec.gov/Archives/edgar/data/1070423/000110465916159593/a16-22232_1ex4d1.htm" TargetMode="External"/><Relationship Id="rId186" Type="http://schemas.openxmlformats.org/officeDocument/2006/relationships/hyperlink" Target="http://www.sec.gov/Archives/edgar/data/1070423/000141057819001281/tv529555_ex4-1.htm" TargetMode="External"/><Relationship Id="rId187" Type="http://schemas.openxmlformats.org/officeDocument/2006/relationships/hyperlink" Target="http://www.sec.gov/Archives/edgar/data/1070423/000110465920072270/tm2022235d1_ex4-1.htm" TargetMode="External"/><Relationship Id="rId188" Type="http://schemas.openxmlformats.org/officeDocument/2006/relationships/hyperlink" Target="http://www.sec.gov/Archives/edgar/data/1581990/000110465913078057/a13-22338_2ex4d1.htm" TargetMode="External"/><Relationship Id="rId189" Type="http://schemas.openxmlformats.org/officeDocument/2006/relationships/hyperlink" Target="http://www.sec.gov/Archives/edgar/data/1070423/000095012311080225/h84381exv10w1.htm" TargetMode="External"/><Relationship Id="rId190" Type="http://schemas.openxmlformats.org/officeDocument/2006/relationships/hyperlink" Target="http://www.sec.gov/Archives/edgar/data/1070423/000119312512293769/d374172dex102.htm" TargetMode="External"/><Relationship Id="rId191" Type="http://schemas.openxmlformats.org/officeDocument/2006/relationships/hyperlink" Target="http://www.sec.gov/Archives/edgar/data/1070423/000119312513340586/d585794dex102.htm" TargetMode="External"/><Relationship Id="rId192" Type="http://schemas.openxmlformats.org/officeDocument/2006/relationships/hyperlink" Target="http://www.sec.gov/Archives/edgar/data/1070423/000110465916140243/a16-16900_1ex10d1.htm" TargetMode="External"/><Relationship Id="rId193" Type="http://schemas.openxmlformats.org/officeDocument/2006/relationships/hyperlink" Target="http://www.sec.gov/Archives/edgar/data/1070423/000095012311080225/h84381exv10w2.htm" TargetMode="External"/><Relationship Id="rId194" Type="http://schemas.openxmlformats.org/officeDocument/2006/relationships/hyperlink" Target="http://www.sec.gov/Archives/edgar/data/1070423/000119312512293769/d374172dex101.htm" TargetMode="External"/><Relationship Id="rId196" Type="http://schemas.openxmlformats.org/officeDocument/2006/relationships/hyperlink" Target="http://www.sec.gov/Archives/edgar/data/1070423/000119312513340586/d585794dex101.htm" TargetMode="External"/><Relationship Id="rId197" Type="http://schemas.openxmlformats.org/officeDocument/2006/relationships/hyperlink" Target="http://www.sec.gov/Archives/edgar/data/1070423/000110465916140243/a16-16900_1ex10d3.htm" TargetMode="External"/><Relationship Id="rId198" Type="http://schemas.openxmlformats.org/officeDocument/2006/relationships/hyperlink" Target="http://www.sec.gov/Archives/edgar/data/1070423/000107042317000021/paa09302017exhibit106.htm" TargetMode="External"/><Relationship Id="rId199" Type="http://schemas.openxmlformats.org/officeDocument/2006/relationships/hyperlink" Target="http://www.sec.gov/Archives/edgar/data/1070423/000095012908000071/h52770exv10w2.htm" TargetMode="External"/><Relationship Id="rId200" Type="http://schemas.openxmlformats.org/officeDocument/2006/relationships/hyperlink" Target="http://www.sec.gov/Archives/edgar/data/1070423/000110465916158355/a16-21841_1ex10d1.htm" TargetMode="External"/><Relationship Id="rId201" Type="http://schemas.openxmlformats.org/officeDocument/2006/relationships/hyperlink" Target="http://www.sec.gov/Archives/edgar/data/1070423/000110465916158355/a16-21841_1ex10d2.htm" TargetMode="External"/><Relationship Id="rId202" Type="http://schemas.openxmlformats.org/officeDocument/2006/relationships/hyperlink" Target="http://www.sec.gov/Archives/edgar/data/1070423/000089924301501783/dex101.txt" TargetMode="External"/><Relationship Id="rId203" Type="http://schemas.openxmlformats.org/officeDocument/2006/relationships/hyperlink" Target="http://www.sec.gov/Archives/edgar/data/1070423/000104746909001897/a2190434zex-10_49.htm" TargetMode="External"/><Relationship Id="rId204" Type="http://schemas.openxmlformats.org/officeDocument/2006/relationships/hyperlink" Target="http://www.sec.gov/Archives/edgar/data/1070423/000110465911010359/a11-2319_1ex10d31.htm" TargetMode="External"/><Relationship Id="rId205" Type="http://schemas.openxmlformats.org/officeDocument/2006/relationships/hyperlink" Target="http://www.sec.gov/Archives/edgar/data/1581990/000110465913078057/a13-22338_2ex10d4.htm" TargetMode="External"/><Relationship Id="rId206" Type="http://schemas.openxmlformats.org/officeDocument/2006/relationships/hyperlink" Target="http://www.sec.gov/Archives/edgar/data/1581990/000158199018000014/pagpq32018exhibit106.htm" TargetMode="External"/><Relationship Id="rId207" Type="http://schemas.openxmlformats.org/officeDocument/2006/relationships/hyperlink" Target="http://www.sec.gov/Archives/edgar/data/1581990/000158199020000005/pagp201910-kexhibit1031.htm" TargetMode="External"/><Relationship Id="rId208" Type="http://schemas.openxmlformats.org/officeDocument/2006/relationships/hyperlink" Target="http://www.sec.gov/Archives/edgar/data/1070423/000089924301501783/dex102.txt" TargetMode="External"/><Relationship Id="rId209" Type="http://schemas.openxmlformats.org/officeDocument/2006/relationships/hyperlink" Target="http://www.sec.gov/Archives/edgar/data/1070423/000104746909001897/a2190434zex-10_50.htm" TargetMode="External"/><Relationship Id="rId211" Type="http://schemas.openxmlformats.org/officeDocument/2006/relationships/hyperlink" Target="http://www.sec.gov/Archives/edgar/data/1581990/000158199019000013/pagpq32019exhibit101.htm" TargetMode="External"/><Relationship Id="rId212" Type="http://schemas.openxmlformats.org/officeDocument/2006/relationships/hyperlink" Target="http://www.sec.gov/Archives/edgar/data/1070423/000110465911010359/a11-2319_1ex10d32.htm" TargetMode="External"/><Relationship Id="rId213" Type="http://schemas.openxmlformats.org/officeDocument/2006/relationships/hyperlink" Target="http://www.sec.gov/Archives/edgar/data/1581990/000110465913078057/a13-22338_2ex10d5.htm" TargetMode="External"/><Relationship Id="rId214" Type="http://schemas.openxmlformats.org/officeDocument/2006/relationships/hyperlink" Target="http://www.sec.gov/Archives/edgar/data/1070423/000110465916100030/a15-24557_1ex10d53.htm" TargetMode="External"/><Relationship Id="rId215" Type="http://schemas.openxmlformats.org/officeDocument/2006/relationships/hyperlink" Target="http://www.sec.gov/Archives/edgar/data/1581990/000158199018000014/pagpq32018exhibit107.htm" TargetMode="External"/><Relationship Id="rId216" Type="http://schemas.openxmlformats.org/officeDocument/2006/relationships/hyperlink" Target="http://www.sec.gov/Archives/edgar/data/1070423/000107042316000004/paa09302016exhibit108.htm" TargetMode="External"/><Relationship Id="rId217" Type="http://schemas.openxmlformats.org/officeDocument/2006/relationships/hyperlink" Target="http://www.sec.gov/Archives/edgar/data/1581990/000158199018000008/pagpq12018exhibit101.htm" TargetMode="External"/><Relationship Id="rId218" Type="http://schemas.openxmlformats.org/officeDocument/2006/relationships/hyperlink" Target="http://www.sec.gov/Archives/edgar/data/1581990/000158199018000014/pagpq32018exhibit108.htm" TargetMode="External"/><Relationship Id="rId219" Type="http://schemas.openxmlformats.org/officeDocument/2006/relationships/hyperlink" Target="http://www.sec.gov/Archives/edgar/data/1070423/000119312513390367/d597666ddef14a.htm#rom597666_10" TargetMode="External"/><Relationship Id="rId220" Type="http://schemas.openxmlformats.org/officeDocument/2006/relationships/hyperlink" Target="http://www.sec.gov/Archives/edgar/data/1070423/000110465913093006/a13-26950_1ex4d4.htm" TargetMode="External"/><Relationship Id="rId221" Type="http://schemas.openxmlformats.org/officeDocument/2006/relationships/hyperlink" Target="http://www.sec.gov/Archives/edgar/data/1481506/000095012310047963/h72950exv10w2.htm" TargetMode="External"/><Relationship Id="rId222" Type="http://schemas.openxmlformats.org/officeDocument/2006/relationships/hyperlink" Target="http://www.sec.gov/Archives/edgar/data/1581990/000110465913078057/a13-22338_2ex10d3.htm" TargetMode="External"/><Relationship Id="rId223" Type="http://schemas.openxmlformats.org/officeDocument/2006/relationships/hyperlink" Target="http://www.sec.gov/Archives/edgar/data/1070423/000095012908000071/h52770exv10w1.htm" TargetMode="External"/><Relationship Id="rId224" Type="http://schemas.openxmlformats.org/officeDocument/2006/relationships/hyperlink" Target="http://www.sec.gov/Archives/edgar/data/1581990/000110465913078057/a13-22338_2ex10d6.htm" TargetMode="External"/><Relationship Id="rId225" Type="http://schemas.openxmlformats.org/officeDocument/2006/relationships/hyperlink" Target="http://www.sec.gov/Archives/edgar/data/1070423/000107042316000004/paa09302016exhibit106.htm" TargetMode="External"/><Relationship Id="rId226" Type="http://schemas.openxmlformats.org/officeDocument/2006/relationships/hyperlink" Target="http://www.sec.gov/Archives/edgar/data/1581990/000158199018000008/pagpq12018exhibit102.htm" TargetMode="External"/><Relationship Id="rId227" Type="http://schemas.openxmlformats.org/officeDocument/2006/relationships/hyperlink" Target="http://www.sec.gov/Archives/edgar/data/1070423/000107042316000004/paa09302016exhibit105.htm" TargetMode="External"/><Relationship Id="rId228" Type="http://schemas.openxmlformats.org/officeDocument/2006/relationships/hyperlink" Target="http://www.sec.gov/Archives/edgar/data/1581990/000158199018000008/pagpq12018exhibit104.htm" TargetMode="External"/><Relationship Id="rId229" Type="http://schemas.openxmlformats.org/officeDocument/2006/relationships/hyperlink" Target="http://www.sec.gov/Archives/edgar/data/1581990/000158199018000008/pagpq12018exhibit105.htm" TargetMode="External"/><Relationship Id="rId231" Type="http://schemas.openxmlformats.org/officeDocument/2006/relationships/hyperlink" Target="http://www.sec.gov/Archives/edgar/data/1070423/000107042317000009/paa03312017exhibit101.htm" TargetMode="External"/><Relationship Id="rId232" Type="http://schemas.openxmlformats.org/officeDocument/2006/relationships/hyperlink" Target="http://www.sec.gov/Archives/edgar/data/1070423/000107042317000009/paa03312017exhibit102.htm" TargetMode="External"/><Relationship Id="rId233" Type="http://schemas.openxmlformats.org/officeDocument/2006/relationships/hyperlink" Target="http://www.sec.gov/Archives/edgar/data/1070423/000107042317000009/paa03312017exhibit103.htm" TargetMode="External"/><Relationship Id="rId234" Type="http://schemas.openxmlformats.org/officeDocument/2006/relationships/hyperlink" Target="http://www.sec.gov/Archives/edgar/data/1581990/000158199017000009/pagp03312017exhibit101.htm" TargetMode="External"/><Relationship Id="rId235" Type="http://schemas.openxmlformats.org/officeDocument/2006/relationships/hyperlink" Target="http://www.sec.gov/Archives/edgar/data/1581990/000158199017000009/pagp03312017exhibit102.htm" TargetMode="External"/><Relationship Id="rId236" Type="http://schemas.openxmlformats.org/officeDocument/2006/relationships/hyperlink" Target="http://www.sec.gov/Archives/edgar/data/1581990/000158199017000009/pagp03312017exhibit103.htm" TargetMode="External"/><Relationship Id="rId237" Type="http://schemas.openxmlformats.org/officeDocument/2006/relationships/hyperlink" Target="http://www.sec.gov/Archives/edgar/data/1581990/000158199019000004/pagp201810-kexhibit1066.htm" TargetMode="External"/><Relationship Id="rId238" Type="http://schemas.openxmlformats.org/officeDocument/2006/relationships/hyperlink" Target="http://www.sec.gov/Archives/edgar/data/1581990/000158199019000004/pagp201810-kexhibit1067.htm" TargetMode="External"/><Relationship Id="rId239" Type="http://schemas.openxmlformats.org/officeDocument/2006/relationships/hyperlink" Target="http://www.sec.gov/Archives/edgar/data/1581990/000158199019000013/pagpq32019exhibit102.htm" TargetMode="External"/><Relationship Id="rId240" Type="http://schemas.openxmlformats.org/officeDocument/2006/relationships/hyperlink" Target="http://www.sec.gov/Archives/edgar/data/1581990/000158199019000013/pagpq32019exhibit103.htm" TargetMode="External"/><Relationship Id="rId241" Type="http://schemas.openxmlformats.org/officeDocument/2006/relationships/hyperlink" Target="http://www.sec.gov/Archives/edgar/data/1581990/000158199020000005/pagp201910-kexhibit1072.htm" TargetMode="External"/><Relationship Id="rId242" Type="http://schemas.openxmlformats.org/officeDocument/2006/relationships/hyperlink" Target="http://www.sec.gov/Archives/edgar/data/1581990/000158199020000034/pagpq3202010-qexhibit101.htm" TargetMode="External"/><Relationship Id="rId243" Type="http://schemas.openxmlformats.org/officeDocument/2006/relationships/hyperlink" Target="http://www.sec.gov/Archives/edgar/data/1581990/000158199020000034/pagpq3202010-qexhibit102.htm" TargetMode="External"/><Relationship Id="rId244" Type="http://schemas.openxmlformats.org/officeDocument/2006/relationships/hyperlink" Target="http://www.sec.gov/Archives/edgar/data/1581990/000110465913078057/a13-22338_2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2021-03-01T07:00:40Z</dcterms:created>
  <dcterms:modified xsi:type="dcterms:W3CDTF">2021-03-01T07:00:40Z</dcterms:modified>
</cp:coreProperties>
</file>