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73bffeb5d0234a1a8b7cd8141a48185f_7">
        <w:r>
          <w:rPr>
            <w:rStyle w:val="InternetLink"/>
            <w:rFonts w:ascii="Times New Roman;sans-serif" w:hAnsi="Times New Roman;sans-serif"/>
            <w:b w:val="false"/>
            <w:color w:val="0000FF"/>
            <w:sz w:val="20"/>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4"/>
        </w:rPr>
      </w:pPr>
      <w:r>
        <w:rPr>
          <w:rFonts w:ascii="Times New Roman;sans-serif" w:hAnsi="Times New Roman;sans-serif"/>
          <w:b/>
          <w:color w:val="000000"/>
          <w:sz w:val="34"/>
        </w:rPr>
        <w:t>UNITED STATES</w:t>
      </w:r>
    </w:p>
    <w:p>
      <w:pPr>
        <w:pStyle w:val="TextBody"/>
        <w:bidi w:val="0"/>
        <w:spacing w:lineRule="auto" w:line="288" w:before="0" w:after="0"/>
        <w:jc w:val="center"/>
        <w:rPr>
          <w:rFonts w:ascii="Times New Roman;sans-serif" w:hAnsi="Times New Roman;sans-serif"/>
          <w:b/>
          <w:color w:val="000000"/>
          <w:sz w:val="34"/>
        </w:rPr>
      </w:pPr>
      <w:r>
        <w:rPr>
          <w:rFonts w:ascii="Times New Roman;sans-serif" w:hAnsi="Times New Roman;sans-serif"/>
          <w:b/>
          <w:color w:val="000000"/>
          <w:sz w:val="34"/>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________________________________________________________________</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FORM 10-Q </w:t>
      </w:r>
    </w:p>
    <w:p>
      <w:pPr>
        <w:pStyle w:val="TextBody"/>
        <w:bidi w:val="0"/>
        <w:spacing w:lineRule="auto" w:line="288" w:before="0" w:after="0"/>
        <w:jc w:val="center"/>
        <w:rPr>
          <w:rFonts w:ascii="Times New Roman;sans-serif" w:hAnsi="Times New Roman;sans-serif"/>
          <w:b/>
          <w:color w:val="000000"/>
          <w:sz w:val="10"/>
        </w:rPr>
      </w:pPr>
      <w:r>
        <w:rPr>
          <w:rFonts w:ascii="Times New Roman;sans-serif" w:hAnsi="Times New Roman;sans-serif"/>
          <w:b/>
          <w:color w:val="000000"/>
          <w:sz w:val="10"/>
        </w:rPr>
        <w:t>________________________________________________________________________________________________________________________________</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pPr>
      <w:r>
        <w:rPr>
          <w:color w:val="000000"/>
        </w:rPr>
        <w:t xml:space="preserve">☑      </w:t>
      </w:r>
      <w:r>
        <w:rPr>
          <w:rFonts w:ascii="Times New Roman;sans-serif" w:hAnsi="Times New Roman;sans-serif"/>
          <w:b/>
          <w:color w:val="000000"/>
          <w:sz w:val="20"/>
        </w:rPr>
        <w:t>QUARTERLY REPORT PURSUANT TO SECTION 13 OR 15(d) OF THE SECURITIES EXCHANGE ACT OF 1934</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March 31, 2024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or</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pPr>
      <w:r>
        <w:rPr>
          <w:color w:val="000000"/>
        </w:rPr>
        <w:t>☐      </w:t>
      </w:r>
      <w:r>
        <w:rPr>
          <w:rFonts w:ascii="Times New Roman;sans-serif" w:hAnsi="Times New Roman;sans-serif"/>
          <w:b/>
          <w:color w:val="000000"/>
          <w:sz w:val="20"/>
        </w:rPr>
        <w:t>TRANSITION REPORT PURSUANT TO SECTION 13 OR 15(d) OF THE SECURITIES EXCHANGE ACT OF 1934</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1-36132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________________________________________________________________</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PLAINS GP HOLDINGS, L.P.</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7362" w:type="dxa"/>
        <w:jc w:val="center"/>
        <w:tblInd w:w="0" w:type="dxa"/>
        <w:tblLayout w:type="fixed"/>
        <w:tblCellMar>
          <w:top w:w="28" w:type="dxa"/>
          <w:left w:w="28" w:type="dxa"/>
          <w:bottom w:w="28" w:type="dxa"/>
          <w:right w:w="28" w:type="dxa"/>
        </w:tblCellMar>
      </w:tblPr>
      <w:tblGrid>
        <w:gridCol w:w="1560"/>
        <w:gridCol w:w="1370"/>
        <w:gridCol w:w="1390"/>
        <w:gridCol w:w="109"/>
        <w:gridCol w:w="109"/>
        <w:gridCol w:w="109"/>
        <w:gridCol w:w="793"/>
        <w:gridCol w:w="793"/>
        <w:gridCol w:w="1129"/>
      </w:tblGrid>
      <w:tr>
        <w:trPr/>
        <w:tc>
          <w:tcPr>
            <w:tcW w:w="15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90-1005472</w:t>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 Identification No.)</w:t>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333 Clay Street, Suite 1600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Houston, Texas 77002 </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(Address of principal executive offices) (Zip code)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(713) 646-4100 </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(Registrant’s telephone number, including area code)</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________________________________________________________________</w:t>
      </w:r>
    </w:p>
    <w:p>
      <w:pPr>
        <w:pStyle w:val="TextBody"/>
        <w:bidi w:val="0"/>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6898" w:type="dxa"/>
        <w:jc w:val="center"/>
        <w:tblInd w:w="0" w:type="dxa"/>
        <w:tblLayout w:type="fixed"/>
        <w:tblCellMar>
          <w:top w:w="28" w:type="dxa"/>
          <w:left w:w="28" w:type="dxa"/>
          <w:bottom w:w="28" w:type="dxa"/>
          <w:right w:w="28" w:type="dxa"/>
        </w:tblCellMar>
      </w:tblPr>
      <w:tblGrid>
        <w:gridCol w:w="570"/>
        <w:gridCol w:w="499"/>
        <w:gridCol w:w="505"/>
        <w:gridCol w:w="539"/>
        <w:gridCol w:w="539"/>
        <w:gridCol w:w="541"/>
        <w:gridCol w:w="1085"/>
        <w:gridCol w:w="1085"/>
        <w:gridCol w:w="1535"/>
      </w:tblGrid>
      <w:tr>
        <w:trPr/>
        <w:tc>
          <w:tcPr>
            <w:tcW w:w="570"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157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A Shares</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PAGP</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Nasdaq</w:t>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color w:val="000000"/>
        </w:rPr>
        <w:t>☑ </w:t>
      </w:r>
      <w:r>
        <w:rPr>
          <w:rFonts w:ascii="Times New Roman;sans-serif" w:hAnsi="Times New Roman;sans-serif"/>
          <w:b w:val="false"/>
          <w:color w:val="000000"/>
          <w:sz w:val="20"/>
        </w:rPr>
        <w:t>Yes  </w:t>
      </w:r>
      <w:r>
        <w:rPr>
          <w:color w:val="000000"/>
        </w:rPr>
        <w:t>☐ </w:t>
      </w:r>
      <w:r>
        <w:rPr>
          <w:rFonts w:ascii="Times New Roman;sans-serif" w:hAnsi="Times New Roman;sans-serif"/>
          <w:b w:val="false"/>
          <w:color w:val="000000"/>
          <w:sz w:val="20"/>
        </w:rPr>
        <w:t>No</w:t>
      </w:r>
    </w:p>
    <w:p>
      <w:pPr>
        <w:pStyle w:val="TextBody"/>
        <w:bidi w:val="0"/>
        <w:spacing w:lineRule="auto" w:line="288" w:before="120" w:after="283"/>
        <w:ind w:left="0" w:right="0" w:firstLine="360"/>
        <w:jc w:val="left"/>
        <w:rPr/>
      </w:pPr>
      <w:r>
        <w:rPr>
          <w:color w:val="000000"/>
        </w:rPr>
        <w:t> </w:t>
      </w:r>
      <w:r>
        <w:rPr>
          <w:rFonts w:ascii="Times New Roman;sans-serif" w:hAnsi="Times New Roman;sans-serif"/>
          <w:b w:val="false"/>
          <w:color w:val="000000"/>
          <w:sz w:val="20"/>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color w:val="000000"/>
        </w:rPr>
        <w:t>☑ </w:t>
      </w:r>
      <w:r>
        <w:rPr>
          <w:rFonts w:ascii="Times New Roman;sans-serif" w:hAnsi="Times New Roman;sans-serif"/>
          <w:b w:val="false"/>
          <w:color w:val="000000"/>
          <w:sz w:val="20"/>
        </w:rPr>
        <w:t>Yes  </w:t>
      </w:r>
      <w:r>
        <w:rPr>
          <w:color w:val="000000"/>
        </w:rPr>
        <w:t>☐ </w:t>
      </w:r>
      <w:r>
        <w:rPr>
          <w:rFonts w:ascii="Times New Roman;sans-serif" w:hAnsi="Times New Roman;sans-serif"/>
          <w:b w:val="false"/>
          <w:color w:val="000000"/>
          <w:sz w:val="20"/>
        </w:rPr>
        <w:t>No</w:t>
      </w:r>
    </w:p>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56"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3"/>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120" w:after="283"/>
        <w:ind w:left="0" w:right="0" w:firstLine="360"/>
        <w:jc w:val="left"/>
        <w:rPr/>
      </w:pPr>
      <w:r>
        <w:rPr>
          <w:color w:val="000000"/>
        </w:rPr>
        <w:t> </w:t>
      </w: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w:t>
      </w:r>
    </w:p>
    <w:p>
      <w:pPr>
        <w:pStyle w:val="TextBody"/>
        <w:bidi w:val="0"/>
        <w:spacing w:lineRule="auto" w:line="288" w:before="120" w:after="283"/>
        <w:ind w:left="0" w:right="0" w:firstLine="360"/>
        <w:jc w:val="left"/>
        <w:rPr/>
      </w:pPr>
      <w:r>
        <w:rPr>
          <w:rFonts w:ascii="Times New Roman;sans-serif" w:hAnsi="Times New Roman;sans-serif"/>
          <w:b w:val="false"/>
          <w:color w:val="000000"/>
          <w:sz w:val="20"/>
        </w:rPr>
        <w:t>Indicate by check mark whether the registrant is a shell company (as defined in Rule 12b-2 of the Exchange Act).  </w:t>
      </w:r>
      <w:r>
        <w:rPr>
          <w:color w:val="000000"/>
        </w:rPr>
        <w:t>☐ </w:t>
      </w:r>
      <w:r>
        <w:rPr>
          <w:rFonts w:ascii="Times New Roman;sans-serif" w:hAnsi="Times New Roman;sans-serif"/>
          <w:b w:val="false"/>
          <w:color w:val="000000"/>
          <w:sz w:val="20"/>
        </w:rPr>
        <w:t>Yes  </w:t>
      </w:r>
      <w:r>
        <w:rPr>
          <w:color w:val="000000"/>
        </w:rPr>
        <w:t>☑ </w:t>
      </w:r>
      <w:r>
        <w:rPr>
          <w:rFonts w:ascii="Times New Roman;sans-serif" w:hAnsi="Times New Roman;sans-serif"/>
          <w:b w:val="false"/>
          <w:color w:val="000000"/>
          <w:sz w:val="20"/>
        </w:rPr>
        <w:t>No</w:t>
      </w:r>
    </w:p>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May 1, 2024, there were 197,252,259 Class A Shares outstanding.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73bffeb5d0234a1a8b7cd8141a48185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3553"/>
        <w:gridCol w:w="3065"/>
        <w:gridCol w:w="3074"/>
        <w:gridCol w:w="149"/>
        <w:gridCol w:w="149"/>
        <w:gridCol w:w="215"/>
      </w:tblGrid>
      <w:tr>
        <w:trPr/>
        <w:tc>
          <w:tcPr>
            <w:tcW w:w="3553" w:type="dxa"/>
            <w:tcBorders/>
            <w:vAlign w:val="center"/>
          </w:tcPr>
          <w:p>
            <w:pPr>
              <w:pStyle w:val="TableContents"/>
              <w:bidi w:val="0"/>
              <w:spacing w:before="0" w:after="283"/>
              <w:jc w:val="left"/>
              <w:rPr>
                <w:sz w:val="4"/>
                <w:szCs w:val="4"/>
              </w:rPr>
            </w:pPr>
            <w:r>
              <w:rPr>
                <w:sz w:val="4"/>
                <w:szCs w:val="4"/>
              </w:rPr>
            </w:r>
          </w:p>
        </w:tc>
        <w:tc>
          <w:tcPr>
            <w:tcW w:w="3065" w:type="dxa"/>
            <w:tcBorders/>
            <w:vAlign w:val="center"/>
          </w:tcPr>
          <w:p>
            <w:pPr>
              <w:pStyle w:val="TableContents"/>
              <w:bidi w:val="0"/>
              <w:spacing w:before="0" w:after="283"/>
              <w:jc w:val="left"/>
              <w:rPr>
                <w:sz w:val="4"/>
                <w:szCs w:val="4"/>
              </w:rPr>
            </w:pPr>
            <w:r>
              <w:rPr>
                <w:sz w:val="4"/>
                <w:szCs w:val="4"/>
              </w:rPr>
            </w:r>
          </w:p>
        </w:tc>
        <w:tc>
          <w:tcPr>
            <w:tcW w:w="307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73bffeb5d0234a1a8b7cd8141a48185f_10">
              <w:r>
                <w:rPr>
                  <w:rStyle w:val="InternetLink"/>
                  <w:rFonts w:ascii="Times New Roman;sans-serif" w:hAnsi="Times New Roman;sans-serif"/>
                  <w:b/>
                  <w:color w:val="0000FF"/>
                  <w:sz w:val="20"/>
                  <w:u w:val="single"/>
                </w:rPr>
                <w:t>PART I. FINANCIAL INFORMATION</w:t>
              </w:r>
            </w:hyperlink>
          </w:p>
        </w:tc>
        <w:tc>
          <w:tcPr>
            <w:tcW w:w="5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3bffeb5d0234a1a8b7cd8141a48185f_13">
              <w:r>
                <w:rPr>
                  <w:rStyle w:val="InternetLink"/>
                  <w:rFonts w:ascii="Times New Roman;sans-serif" w:hAnsi="Times New Roman;sans-serif"/>
                  <w:b w:val="false"/>
                  <w:color w:val="0000FF"/>
                  <w:sz w:val="20"/>
                  <w:u w:val="single"/>
                </w:rPr>
                <w:t>Item 1. UNAUDITED CONDENSED CONSOLIDATED FINANCIAL STATEMENTS: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3bffeb5d0234a1a8b7cd8141a48185f_16">
              <w:r>
                <w:rPr>
                  <w:rStyle w:val="InternetLink"/>
                  <w:rFonts w:ascii="Times New Roman;sans-serif" w:hAnsi="Times New Roman;sans-serif"/>
                  <w:b w:val="false"/>
                  <w:color w:val="000080"/>
                  <w:sz w:val="20"/>
                  <w:u w:val="single"/>
                </w:rPr>
                <w:t xml:space="preserve">Condensed Consolidated Balance Sheets: As of </w:t>
              </w:r>
            </w:hyperlink>
            <w:hyperlink w:anchor="i73bffeb5d0234a1a8b7cd8141a48185f_16">
              <w:r>
                <w:rPr>
                  <w:rStyle w:val="InternetLink"/>
                  <w:rFonts w:ascii="Times New Roman;sans-serif" w:hAnsi="Times New Roman;sans-serif"/>
                  <w:b w:val="false"/>
                  <w:color w:val="000080"/>
                  <w:sz w:val="20"/>
                  <w:u w:val="single"/>
                </w:rPr>
                <w:t>March</w:t>
              </w:r>
            </w:hyperlink>
            <w:hyperlink w:anchor="i73bffeb5d0234a1a8b7cd8141a48185f_16">
              <w:r>
                <w:rPr>
                  <w:rStyle w:val="InternetLink"/>
                  <w:rFonts w:ascii="Times New Roman;sans-serif" w:hAnsi="Times New Roman;sans-serif"/>
                  <w:b w:val="false"/>
                  <w:color w:val="000080"/>
                  <w:sz w:val="20"/>
                  <w:u w:val="single"/>
                </w:rPr>
                <w:t xml:space="preserve"> 3</w:t>
              </w:r>
            </w:hyperlink>
            <w:hyperlink w:anchor="i73bffeb5d0234a1a8b7cd8141a48185f_16">
              <w:r>
                <w:rPr>
                  <w:rStyle w:val="InternetLink"/>
                  <w:rFonts w:ascii="Times New Roman;sans-serif" w:hAnsi="Times New Roman;sans-serif"/>
                  <w:b w:val="false"/>
                  <w:color w:val="000080"/>
                  <w:sz w:val="20"/>
                  <w:u w:val="single"/>
                </w:rPr>
                <w:t>1</w:t>
              </w:r>
            </w:hyperlink>
            <w:hyperlink w:anchor="i73bffeb5d0234a1a8b7cd8141a48185f_16">
              <w:r>
                <w:rPr>
                  <w:rStyle w:val="InternetLink"/>
                  <w:rFonts w:ascii="Times New Roman;sans-serif" w:hAnsi="Times New Roman;sans-serif"/>
                  <w:b w:val="false"/>
                  <w:color w:val="000080"/>
                  <w:sz w:val="20"/>
                  <w:u w:val="single"/>
                </w:rPr>
                <w:t>, 202</w:t>
              </w:r>
            </w:hyperlink>
            <w:hyperlink w:anchor="i73bffeb5d0234a1a8b7cd8141a48185f_16">
              <w:r>
                <w:rPr>
                  <w:rStyle w:val="InternetLink"/>
                  <w:rFonts w:ascii="Times New Roman;sans-serif" w:hAnsi="Times New Roman;sans-serif"/>
                  <w:b w:val="false"/>
                  <w:color w:val="000080"/>
                  <w:sz w:val="20"/>
                  <w:u w:val="single"/>
                </w:rPr>
                <w:t>4</w:t>
              </w:r>
            </w:hyperlink>
            <w:hyperlink w:anchor="i73bffeb5d0234a1a8b7cd8141a48185f_16">
              <w:r>
                <w:rPr>
                  <w:rStyle w:val="InternetLink"/>
                  <w:rFonts w:ascii="Times New Roman;sans-serif" w:hAnsi="Times New Roman;sans-serif"/>
                  <w:b w:val="false"/>
                  <w:color w:val="000080"/>
                  <w:sz w:val="20"/>
                  <w:u w:val="single"/>
                </w:rPr>
                <w:t xml:space="preserve"> and December 31, 20</w:t>
              </w:r>
            </w:hyperlink>
            <w:hyperlink w:anchor="i73bffeb5d0234a1a8b7cd8141a48185f_16">
              <w:r>
                <w:rPr>
                  <w:rStyle w:val="InternetLink"/>
                  <w:rFonts w:ascii="Times New Roman;sans-serif" w:hAnsi="Times New Roman;sans-serif"/>
                  <w:b w:val="false"/>
                  <w:color w:val="000080"/>
                  <w:sz w:val="20"/>
                  <w:u w:val="single"/>
                </w:rPr>
                <w:t>23</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3bffeb5d0234a1a8b7cd8141a48185f_16">
              <w:r>
                <w:rPr>
                  <w:rStyle w:val="InternetLink"/>
                  <w:rFonts w:ascii="Times New Roman;sans-serif" w:hAnsi="Times New Roman;sans-serif"/>
                  <w:b w:val="false"/>
                  <w:color w:val="0000FF"/>
                  <w:sz w:val="20"/>
                  <w:u w:val="single"/>
                </w:rPr>
                <w:t>3</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73bffeb5d0234a1a8b7cd8141a48185f_19">
              <w:r>
                <w:rPr>
                  <w:rStyle w:val="InternetLink"/>
                  <w:rFonts w:ascii="Times New Roman;sans-serif" w:hAnsi="Times New Roman;sans-serif"/>
                  <w:b w:val="false"/>
                  <w:color w:val="000080"/>
                  <w:sz w:val="20"/>
                  <w:u w:val="single"/>
                </w:rPr>
                <w:t xml:space="preserve">Condensed Consolidated Statements of Operations: For the three </w:t>
              </w:r>
            </w:hyperlink>
            <w:hyperlink w:anchor="i73bffeb5d0234a1a8b7cd8141a48185f_19">
              <w:r>
                <w:rPr>
                  <w:rStyle w:val="InternetLink"/>
                  <w:rFonts w:ascii="Times New Roman;sans-serif" w:hAnsi="Times New Roman;sans-serif"/>
                  <w:b w:val="false"/>
                  <w:color w:val="000080"/>
                  <w:sz w:val="20"/>
                  <w:u w:val="single"/>
                </w:rPr>
                <w:t xml:space="preserve">months ended </w:t>
              </w:r>
            </w:hyperlink>
            <w:hyperlink w:anchor="i73bffeb5d0234a1a8b7cd8141a48185f_19">
              <w:r>
                <w:rPr>
                  <w:rStyle w:val="InternetLink"/>
                  <w:rFonts w:ascii="Times New Roman;sans-serif" w:hAnsi="Times New Roman;sans-serif"/>
                  <w:b w:val="false"/>
                  <w:color w:val="000080"/>
                  <w:sz w:val="20"/>
                  <w:u w:val="single"/>
                </w:rPr>
                <w:t>March 31</w:t>
              </w:r>
            </w:hyperlink>
            <w:hyperlink w:anchor="i73bffeb5d0234a1a8b7cd8141a48185f_19">
              <w:r>
                <w:rPr>
                  <w:rStyle w:val="InternetLink"/>
                  <w:rFonts w:ascii="Times New Roman;sans-serif" w:hAnsi="Times New Roman;sans-serif"/>
                  <w:b w:val="false"/>
                  <w:color w:val="000080"/>
                  <w:sz w:val="20"/>
                  <w:u w:val="single"/>
                </w:rPr>
                <w:t>, 202</w:t>
              </w:r>
            </w:hyperlink>
            <w:hyperlink w:anchor="i73bffeb5d0234a1a8b7cd8141a48185f_19">
              <w:r>
                <w:rPr>
                  <w:rStyle w:val="InternetLink"/>
                  <w:rFonts w:ascii="Times New Roman;sans-serif" w:hAnsi="Times New Roman;sans-serif"/>
                  <w:b w:val="false"/>
                  <w:color w:val="000080"/>
                  <w:sz w:val="20"/>
                  <w:u w:val="single"/>
                </w:rPr>
                <w:t>4</w:t>
              </w:r>
            </w:hyperlink>
            <w:hyperlink w:anchor="i73bffeb5d0234a1a8b7cd8141a48185f_19">
              <w:r>
                <w:rPr>
                  <w:rStyle w:val="InternetLink"/>
                  <w:rFonts w:ascii="Times New Roman;sans-serif" w:hAnsi="Times New Roman;sans-serif"/>
                  <w:b w:val="false"/>
                  <w:color w:val="000080"/>
                  <w:sz w:val="20"/>
                  <w:u w:val="single"/>
                </w:rPr>
                <w:t xml:space="preserve"> and 20</w:t>
              </w:r>
            </w:hyperlink>
            <w:hyperlink w:anchor="i73bffeb5d0234a1a8b7cd8141a48185f_19">
              <w:r>
                <w:rPr>
                  <w:rStyle w:val="InternetLink"/>
                  <w:rFonts w:ascii="Times New Roman;sans-serif" w:hAnsi="Times New Roman;sans-serif"/>
                  <w:b w:val="false"/>
                  <w:color w:val="000080"/>
                  <w:sz w:val="20"/>
                  <w:u w:val="single"/>
                </w:rPr>
                <w:t>23</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3bffeb5d0234a1a8b7cd8141a48185f_19">
              <w:r>
                <w:rPr>
                  <w:rStyle w:val="InternetLink"/>
                  <w:rFonts w:ascii="Times New Roman;sans-serif" w:hAnsi="Times New Roman;sans-serif"/>
                  <w:b w:val="false"/>
                  <w:color w:val="0000FF"/>
                  <w:sz w:val="20"/>
                  <w:u w:val="single"/>
                </w:rPr>
                <w:t>4</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73bffeb5d0234a1a8b7cd8141a48185f_22">
              <w:r>
                <w:rPr>
                  <w:rStyle w:val="InternetLink"/>
                  <w:rFonts w:ascii="Times New Roman;sans-serif" w:hAnsi="Times New Roman;sans-serif"/>
                  <w:b w:val="false"/>
                  <w:color w:val="000080"/>
                  <w:sz w:val="20"/>
                  <w:u w:val="single"/>
                </w:rPr>
                <w:t>Condensed Consolidated Statements of Comprehensive Income</w:t>
              </w:r>
            </w:hyperlink>
            <w:hyperlink w:anchor="i73bffeb5d0234a1a8b7cd8141a48185f_22">
              <w:r>
                <w:rPr>
                  <w:rStyle w:val="InternetLink"/>
                  <w:rFonts w:ascii="Times New Roman;sans-serif" w:hAnsi="Times New Roman;sans-serif"/>
                  <w:b w:val="false"/>
                  <w:color w:val="000080"/>
                  <w:sz w:val="20"/>
                  <w:u w:val="single"/>
                </w:rPr>
                <w:t>: For the three</w:t>
              </w:r>
            </w:hyperlink>
            <w:hyperlink w:anchor="i73bffeb5d0234a1a8b7cd8141a48185f_22">
              <w:r>
                <w:rPr>
                  <w:rStyle w:val="InternetLink"/>
                  <w:rFonts w:ascii="Times New Roman;sans-serif" w:hAnsi="Times New Roman;sans-serif"/>
                  <w:b w:val="false"/>
                  <w:color w:val="000080"/>
                  <w:sz w:val="20"/>
                  <w:u w:val="single"/>
                </w:rPr>
                <w:t xml:space="preserve"> months ended </w:t>
              </w:r>
            </w:hyperlink>
            <w:hyperlink w:anchor="i73bffeb5d0234a1a8b7cd8141a48185f_22">
              <w:r>
                <w:rPr>
                  <w:rStyle w:val="InternetLink"/>
                  <w:rFonts w:ascii="Times New Roman;sans-serif" w:hAnsi="Times New Roman;sans-serif"/>
                  <w:b w:val="false"/>
                  <w:color w:val="000080"/>
                  <w:sz w:val="20"/>
                  <w:u w:val="single"/>
                </w:rPr>
                <w:t>March 31</w:t>
              </w:r>
            </w:hyperlink>
            <w:hyperlink w:anchor="i73bffeb5d0234a1a8b7cd8141a48185f_22">
              <w:r>
                <w:rPr>
                  <w:rStyle w:val="InternetLink"/>
                  <w:rFonts w:ascii="Times New Roman;sans-serif" w:hAnsi="Times New Roman;sans-serif"/>
                  <w:b w:val="false"/>
                  <w:color w:val="000080"/>
                  <w:sz w:val="20"/>
                  <w:u w:val="single"/>
                </w:rPr>
                <w:t>, 202</w:t>
              </w:r>
            </w:hyperlink>
            <w:hyperlink w:anchor="i73bffeb5d0234a1a8b7cd8141a48185f_22">
              <w:r>
                <w:rPr>
                  <w:rStyle w:val="InternetLink"/>
                  <w:rFonts w:ascii="Times New Roman;sans-serif" w:hAnsi="Times New Roman;sans-serif"/>
                  <w:b w:val="false"/>
                  <w:color w:val="000080"/>
                  <w:sz w:val="20"/>
                  <w:u w:val="single"/>
                </w:rPr>
                <w:t>4</w:t>
              </w:r>
            </w:hyperlink>
            <w:hyperlink w:anchor="i73bffeb5d0234a1a8b7cd8141a48185f_22">
              <w:r>
                <w:rPr>
                  <w:rStyle w:val="InternetLink"/>
                  <w:rFonts w:ascii="Times New Roman;sans-serif" w:hAnsi="Times New Roman;sans-serif"/>
                  <w:b w:val="false"/>
                  <w:color w:val="000080"/>
                  <w:sz w:val="20"/>
                  <w:u w:val="single"/>
                </w:rPr>
                <w:t> and 202</w:t>
              </w:r>
            </w:hyperlink>
            <w:hyperlink w:anchor="i73bffeb5d0234a1a8b7cd8141a48185f_22">
              <w:r>
                <w:rPr>
                  <w:rStyle w:val="InternetLink"/>
                  <w:rFonts w:ascii="Times New Roman;sans-serif" w:hAnsi="Times New Roman;sans-serif"/>
                  <w:b w:val="false"/>
                  <w:color w:val="000080"/>
                  <w:sz w:val="20"/>
                  <w:u w:val="single"/>
                </w:rPr>
                <w:t>3</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3bffeb5d0234a1a8b7cd8141a48185f_22">
              <w:r>
                <w:rPr>
                  <w:rStyle w:val="InternetLink"/>
                  <w:rFonts w:ascii="Times New Roman;sans-serif" w:hAnsi="Times New Roman;sans-serif"/>
                  <w:b w:val="false"/>
                  <w:color w:val="0000FF"/>
                  <w:sz w:val="20"/>
                  <w:u w:val="single"/>
                </w:rPr>
                <w:t>5</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73bffeb5d0234a1a8b7cd8141a48185f_25">
              <w:r>
                <w:rPr>
                  <w:rStyle w:val="InternetLink"/>
                  <w:rFonts w:ascii="Times New Roman;sans-serif" w:hAnsi="Times New Roman;sans-serif"/>
                  <w:b w:val="false"/>
                  <w:color w:val="000080"/>
                  <w:sz w:val="20"/>
                  <w:u w:val="single"/>
                </w:rPr>
                <w:t xml:space="preserve">Condensed Consolidated Statements of Changes in Accumulated Other Comprehensive Income/(Loss): For the three </w:t>
              </w:r>
            </w:hyperlink>
            <w:hyperlink w:anchor="i73bffeb5d0234a1a8b7cd8141a48185f_25">
              <w:r>
                <w:rPr>
                  <w:rStyle w:val="InternetLink"/>
                  <w:rFonts w:ascii="Times New Roman;sans-serif" w:hAnsi="Times New Roman;sans-serif"/>
                  <w:b w:val="false"/>
                  <w:color w:val="000080"/>
                  <w:sz w:val="20"/>
                  <w:u w:val="single"/>
                </w:rPr>
                <w:t xml:space="preserve">months ended </w:t>
              </w:r>
            </w:hyperlink>
            <w:hyperlink w:anchor="i73bffeb5d0234a1a8b7cd8141a48185f_25">
              <w:r>
                <w:rPr>
                  <w:rStyle w:val="InternetLink"/>
                  <w:rFonts w:ascii="Times New Roman;sans-serif" w:hAnsi="Times New Roman;sans-serif"/>
                  <w:b w:val="false"/>
                  <w:color w:val="000080"/>
                  <w:sz w:val="20"/>
                  <w:u w:val="single"/>
                </w:rPr>
                <w:t>March</w:t>
              </w:r>
            </w:hyperlink>
            <w:hyperlink w:anchor="i73bffeb5d0234a1a8b7cd8141a48185f_25">
              <w:r>
                <w:rPr>
                  <w:rStyle w:val="InternetLink"/>
                  <w:rFonts w:ascii="Times New Roman;sans-serif" w:hAnsi="Times New Roman;sans-serif"/>
                  <w:b w:val="false"/>
                  <w:color w:val="000080"/>
                  <w:sz w:val="20"/>
                  <w:u w:val="single"/>
                </w:rPr>
                <w:t xml:space="preserve"> 3</w:t>
              </w:r>
            </w:hyperlink>
            <w:hyperlink w:anchor="i73bffeb5d0234a1a8b7cd8141a48185f_25">
              <w:r>
                <w:rPr>
                  <w:rStyle w:val="InternetLink"/>
                  <w:rFonts w:ascii="Times New Roman;sans-serif" w:hAnsi="Times New Roman;sans-serif"/>
                  <w:b w:val="false"/>
                  <w:color w:val="000080"/>
                  <w:sz w:val="20"/>
                  <w:u w:val="single"/>
                </w:rPr>
                <w:t>1</w:t>
              </w:r>
            </w:hyperlink>
            <w:hyperlink w:anchor="i73bffeb5d0234a1a8b7cd8141a48185f_25">
              <w:r>
                <w:rPr>
                  <w:rStyle w:val="InternetLink"/>
                  <w:rFonts w:ascii="Times New Roman;sans-serif" w:hAnsi="Times New Roman;sans-serif"/>
                  <w:b w:val="false"/>
                  <w:color w:val="000080"/>
                  <w:sz w:val="20"/>
                  <w:u w:val="single"/>
                </w:rPr>
                <w:t>, 202</w:t>
              </w:r>
            </w:hyperlink>
            <w:hyperlink w:anchor="i73bffeb5d0234a1a8b7cd8141a48185f_25">
              <w:r>
                <w:rPr>
                  <w:rStyle w:val="InternetLink"/>
                  <w:rFonts w:ascii="Times New Roman;sans-serif" w:hAnsi="Times New Roman;sans-serif"/>
                  <w:b w:val="false"/>
                  <w:color w:val="000080"/>
                  <w:sz w:val="20"/>
                  <w:u w:val="single"/>
                </w:rPr>
                <w:t>4</w:t>
              </w:r>
            </w:hyperlink>
            <w:hyperlink w:anchor="i73bffeb5d0234a1a8b7cd8141a48185f_25">
              <w:r>
                <w:rPr>
                  <w:rStyle w:val="InternetLink"/>
                  <w:rFonts w:ascii="Times New Roman;sans-serif" w:hAnsi="Times New Roman;sans-serif"/>
                  <w:b w:val="false"/>
                  <w:color w:val="000080"/>
                  <w:sz w:val="20"/>
                  <w:u w:val="single"/>
                </w:rPr>
                <w:t xml:space="preserve"> and 202</w:t>
              </w:r>
            </w:hyperlink>
            <w:hyperlink w:anchor="i73bffeb5d0234a1a8b7cd8141a48185f_25">
              <w:r>
                <w:rPr>
                  <w:rStyle w:val="InternetLink"/>
                  <w:rFonts w:ascii="Times New Roman;sans-serif" w:hAnsi="Times New Roman;sans-serif"/>
                  <w:b w:val="false"/>
                  <w:color w:val="000080"/>
                  <w:sz w:val="20"/>
                  <w:u w:val="single"/>
                </w:rPr>
                <w:t>3</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3bffeb5d0234a1a8b7cd8141a48185f_25">
              <w:r>
                <w:rPr>
                  <w:rStyle w:val="InternetLink"/>
                  <w:rFonts w:ascii="Times New Roman;sans-serif" w:hAnsi="Times New Roman;sans-serif"/>
                  <w:b w:val="false"/>
                  <w:color w:val="0000FF"/>
                  <w:sz w:val="20"/>
                  <w:u w:val="single"/>
                </w:rPr>
                <w:t>5</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3bffeb5d0234a1a8b7cd8141a48185f_28">
              <w:r>
                <w:rPr>
                  <w:rStyle w:val="InternetLink"/>
                  <w:rFonts w:ascii="Times New Roman;sans-serif" w:hAnsi="Times New Roman;sans-serif"/>
                  <w:b w:val="false"/>
                  <w:color w:val="000080"/>
                  <w:sz w:val="20"/>
                  <w:u w:val="single"/>
                </w:rPr>
                <w:t xml:space="preserve">Condensed Consolidated Statements of Cash Flows: For the </w:t>
              </w:r>
            </w:hyperlink>
            <w:hyperlink w:anchor="i73bffeb5d0234a1a8b7cd8141a48185f_28">
              <w:r>
                <w:rPr>
                  <w:rStyle w:val="InternetLink"/>
                  <w:rFonts w:ascii="Times New Roman;sans-serif" w:hAnsi="Times New Roman;sans-serif"/>
                  <w:b w:val="false"/>
                  <w:color w:val="000080"/>
                  <w:sz w:val="20"/>
                  <w:u w:val="single"/>
                </w:rPr>
                <w:t>three</w:t>
              </w:r>
            </w:hyperlink>
            <w:hyperlink w:anchor="i73bffeb5d0234a1a8b7cd8141a48185f_28">
              <w:r>
                <w:rPr>
                  <w:rStyle w:val="InternetLink"/>
                  <w:rFonts w:ascii="Times New Roman;sans-serif" w:hAnsi="Times New Roman;sans-serif"/>
                  <w:b w:val="false"/>
                  <w:color w:val="000080"/>
                  <w:sz w:val="20"/>
                  <w:u w:val="single"/>
                </w:rPr>
                <w:t xml:space="preserve"> months ended </w:t>
              </w:r>
            </w:hyperlink>
            <w:hyperlink w:anchor="i73bffeb5d0234a1a8b7cd8141a48185f_28">
              <w:r>
                <w:rPr>
                  <w:rStyle w:val="InternetLink"/>
                  <w:rFonts w:ascii="Times New Roman;sans-serif" w:hAnsi="Times New Roman;sans-serif"/>
                  <w:b w:val="false"/>
                  <w:color w:val="000080"/>
                  <w:sz w:val="20"/>
                  <w:u w:val="single"/>
                </w:rPr>
                <w:t>March 31</w:t>
              </w:r>
            </w:hyperlink>
            <w:hyperlink w:anchor="i73bffeb5d0234a1a8b7cd8141a48185f_28">
              <w:r>
                <w:rPr>
                  <w:rStyle w:val="InternetLink"/>
                  <w:rFonts w:ascii="Times New Roman;sans-serif" w:hAnsi="Times New Roman;sans-serif"/>
                  <w:b w:val="false"/>
                  <w:color w:val="000080"/>
                  <w:sz w:val="20"/>
                  <w:u w:val="single"/>
                </w:rPr>
                <w:t>, 202</w:t>
              </w:r>
            </w:hyperlink>
            <w:hyperlink w:anchor="i73bffeb5d0234a1a8b7cd8141a48185f_28">
              <w:r>
                <w:rPr>
                  <w:rStyle w:val="InternetLink"/>
                  <w:rFonts w:ascii="Times New Roman;sans-serif" w:hAnsi="Times New Roman;sans-serif"/>
                  <w:b w:val="false"/>
                  <w:color w:val="000080"/>
                  <w:sz w:val="20"/>
                  <w:u w:val="single"/>
                </w:rPr>
                <w:t>4</w:t>
              </w:r>
            </w:hyperlink>
            <w:hyperlink w:anchor="i73bffeb5d0234a1a8b7cd8141a48185f_28">
              <w:r>
                <w:rPr>
                  <w:rStyle w:val="InternetLink"/>
                  <w:rFonts w:ascii="Times New Roman;sans-serif" w:hAnsi="Times New Roman;sans-serif"/>
                  <w:b w:val="false"/>
                  <w:color w:val="000080"/>
                  <w:sz w:val="20"/>
                  <w:u w:val="single"/>
                </w:rPr>
                <w:t xml:space="preserve"> and 202</w:t>
              </w:r>
            </w:hyperlink>
            <w:hyperlink w:anchor="i73bffeb5d0234a1a8b7cd8141a48185f_28">
              <w:r>
                <w:rPr>
                  <w:rStyle w:val="InternetLink"/>
                  <w:rFonts w:ascii="Times New Roman;sans-serif" w:hAnsi="Times New Roman;sans-serif"/>
                  <w:b w:val="false"/>
                  <w:color w:val="000080"/>
                  <w:sz w:val="20"/>
                  <w:u w:val="single"/>
                </w:rPr>
                <w:t>3</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3bffeb5d0234a1a8b7cd8141a48185f_28">
              <w:r>
                <w:rPr>
                  <w:rStyle w:val="InternetLink"/>
                  <w:rFonts w:ascii="Times New Roman;sans-serif" w:hAnsi="Times New Roman;sans-serif"/>
                  <w:b w:val="false"/>
                  <w:color w:val="0000FF"/>
                  <w:sz w:val="20"/>
                  <w:u w:val="single"/>
                </w:rPr>
                <w:t>6</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73bffeb5d0234a1a8b7cd8141a48185f_31">
              <w:r>
                <w:rPr>
                  <w:rStyle w:val="InternetLink"/>
                  <w:rFonts w:ascii="Times New Roman;sans-serif" w:hAnsi="Times New Roman;sans-serif"/>
                  <w:b w:val="false"/>
                  <w:color w:val="000080"/>
                  <w:sz w:val="20"/>
                  <w:u w:val="single"/>
                </w:rPr>
                <w:t>Condensed Consolidated Statements of Changes in Partners’ Capital: For the three</w:t>
              </w:r>
            </w:hyperlink>
            <w:hyperlink w:anchor="i73bffeb5d0234a1a8b7cd8141a48185f_31">
              <w:r>
                <w:rPr>
                  <w:rStyle w:val="InternetLink"/>
                  <w:rFonts w:ascii="Times New Roman;sans-serif" w:hAnsi="Times New Roman;sans-serif"/>
                  <w:b w:val="false"/>
                  <w:color w:val="000080"/>
                  <w:sz w:val="20"/>
                  <w:u w:val="single"/>
                </w:rPr>
                <w:t xml:space="preserve"> months ended </w:t>
              </w:r>
            </w:hyperlink>
            <w:hyperlink w:anchor="i73bffeb5d0234a1a8b7cd8141a48185f_31">
              <w:r>
                <w:rPr>
                  <w:rStyle w:val="InternetLink"/>
                  <w:rFonts w:ascii="Times New Roman;sans-serif" w:hAnsi="Times New Roman;sans-serif"/>
                  <w:b w:val="false"/>
                  <w:color w:val="000080"/>
                  <w:sz w:val="20"/>
                  <w:u w:val="single"/>
                </w:rPr>
                <w:t>March 31</w:t>
              </w:r>
            </w:hyperlink>
            <w:hyperlink w:anchor="i73bffeb5d0234a1a8b7cd8141a48185f_31">
              <w:r>
                <w:rPr>
                  <w:rStyle w:val="InternetLink"/>
                  <w:rFonts w:ascii="Times New Roman;sans-serif" w:hAnsi="Times New Roman;sans-serif"/>
                  <w:b w:val="false"/>
                  <w:color w:val="000080"/>
                  <w:sz w:val="20"/>
                  <w:u w:val="single"/>
                </w:rPr>
                <w:t>, 202</w:t>
              </w:r>
            </w:hyperlink>
            <w:hyperlink w:anchor="i73bffeb5d0234a1a8b7cd8141a48185f_31">
              <w:r>
                <w:rPr>
                  <w:rStyle w:val="InternetLink"/>
                  <w:rFonts w:ascii="Times New Roman;sans-serif" w:hAnsi="Times New Roman;sans-serif"/>
                  <w:b w:val="false"/>
                  <w:color w:val="000080"/>
                  <w:sz w:val="20"/>
                  <w:u w:val="single"/>
                </w:rPr>
                <w:t>4</w:t>
              </w:r>
            </w:hyperlink>
            <w:hyperlink w:anchor="i73bffeb5d0234a1a8b7cd8141a48185f_31">
              <w:r>
                <w:rPr>
                  <w:rStyle w:val="InternetLink"/>
                  <w:rFonts w:ascii="Times New Roman;sans-serif" w:hAnsi="Times New Roman;sans-serif"/>
                  <w:b w:val="false"/>
                  <w:color w:val="000080"/>
                  <w:sz w:val="20"/>
                  <w:u w:val="single"/>
                </w:rPr>
                <w:t> and 202</w:t>
              </w:r>
            </w:hyperlink>
            <w:hyperlink w:anchor="i73bffeb5d0234a1a8b7cd8141a48185f_31">
              <w:r>
                <w:rPr>
                  <w:rStyle w:val="InternetLink"/>
                  <w:rFonts w:ascii="Times New Roman;sans-serif" w:hAnsi="Times New Roman;sans-serif"/>
                  <w:b w:val="false"/>
                  <w:color w:val="000080"/>
                  <w:sz w:val="20"/>
                  <w:u w:val="single"/>
                </w:rPr>
                <w:t>3</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3bffeb5d0234a1a8b7cd8141a48185f_31">
              <w:r>
                <w:rPr>
                  <w:rStyle w:val="InternetLink"/>
                  <w:rFonts w:ascii="Times New Roman;sans-serif" w:hAnsi="Times New Roman;sans-serif"/>
                  <w:b w:val="false"/>
                  <w:color w:val="0000FF"/>
                  <w:sz w:val="20"/>
                  <w:u w:val="single"/>
                </w:rPr>
                <w:t>7</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73bffeb5d0234a1a8b7cd8141a48185f_34">
              <w:r>
                <w:rPr>
                  <w:rStyle w:val="InternetLink"/>
                  <w:rFonts w:ascii="Times New Roman;sans-serif" w:hAnsi="Times New Roman;sans-serif"/>
                  <w:b w:val="false"/>
                  <w:color w:val="0000FF"/>
                  <w:sz w:val="20"/>
                  <w:u w:val="single"/>
                </w:rPr>
                <w:t>Notes to the Condensed Consolidated Financial Statements: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73bffeb5d0234a1a8b7cd8141a48185f_37">
              <w:r>
                <w:rPr>
                  <w:rStyle w:val="InternetLink"/>
                  <w:rFonts w:ascii="Times New Roman;sans-serif" w:hAnsi="Times New Roman;sans-serif"/>
                  <w:b w:val="false"/>
                  <w:color w:val="0000FF"/>
                  <w:sz w:val="20"/>
                  <w:u w:val="single"/>
                </w:rPr>
                <w:t>1. Organization and Basis of Consolidation and Presentation</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3bffeb5d0234a1a8b7cd8141a48185f_37">
              <w:r>
                <w:rPr>
                  <w:rStyle w:val="InternetLink"/>
                  <w:rFonts w:ascii="Times New Roman;sans-serif" w:hAnsi="Times New Roman;sans-serif"/>
                  <w:b w:val="false"/>
                  <w:color w:val="0000FF"/>
                  <w:sz w:val="20"/>
                  <w:u w:val="single"/>
                </w:rPr>
                <w:t>8</w:t>
              </w:r>
            </w:hyperlink>
          </w:p>
        </w:tc>
      </w:tr>
      <w:tr>
        <w:trPr/>
        <w:tc>
          <w:tcPr>
            <w:tcW w:w="9692"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3bffeb5d0234a1a8b7cd8141a48185f_43">
              <w:r>
                <w:rPr>
                  <w:rStyle w:val="InternetLink"/>
                  <w:rFonts w:ascii="Times New Roman;sans-serif" w:hAnsi="Times New Roman;sans-serif"/>
                  <w:b w:val="false"/>
                  <w:color w:val="0000FF"/>
                  <w:sz w:val="20"/>
                  <w:u w:val="single"/>
                </w:rPr>
                <w:t>2. Revenues and Accounts Receivable</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3bffeb5d0234a1a8b7cd8141a48185f_43">
              <w:r>
                <w:rPr>
                  <w:rStyle w:val="InternetLink"/>
                  <w:rFonts w:ascii="Times New Roman;sans-serif" w:hAnsi="Times New Roman;sans-serif"/>
                  <w:b w:val="false"/>
                  <w:color w:val="0000FF"/>
                  <w:sz w:val="20"/>
                  <w:u w:val="single"/>
                </w:rPr>
                <w:t>11</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73bffeb5d0234a1a8b7cd8141a48185f_49">
              <w:r>
                <w:rPr>
                  <w:rStyle w:val="InternetLink"/>
                  <w:rFonts w:ascii="Times New Roman;sans-serif" w:hAnsi="Times New Roman;sans-serif"/>
                  <w:b w:val="false"/>
                  <w:color w:val="0000FF"/>
                  <w:sz w:val="20"/>
                  <w:u w:val="single"/>
                </w:rPr>
                <w:t>3. Net Income Per Class A Share</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3bffeb5d0234a1a8b7cd8141a48185f_49">
              <w:r>
                <w:rPr>
                  <w:rStyle w:val="InternetLink"/>
                  <w:rFonts w:ascii="Times New Roman;sans-serif" w:hAnsi="Times New Roman;sans-serif"/>
                  <w:b w:val="false"/>
                  <w:color w:val="0000FF"/>
                  <w:sz w:val="20"/>
                  <w:u w:val="single"/>
                </w:rPr>
                <w:t>13</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73bffeb5d0234a1a8b7cd8141a48185f_52">
              <w:r>
                <w:rPr>
                  <w:rStyle w:val="InternetLink"/>
                  <w:rFonts w:ascii="Times New Roman;sans-serif" w:hAnsi="Times New Roman;sans-serif"/>
                  <w:b w:val="false"/>
                  <w:color w:val="0000FF"/>
                  <w:sz w:val="20"/>
                  <w:u w:val="single"/>
                </w:rPr>
                <w:t>4. Inventory, Linefill and Long-term Inventory</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3bffeb5d0234a1a8b7cd8141a48185f_52">
              <w:r>
                <w:rPr>
                  <w:rStyle w:val="InternetLink"/>
                  <w:rFonts w:ascii="Times New Roman;sans-serif" w:hAnsi="Times New Roman;sans-serif"/>
                  <w:b w:val="false"/>
                  <w:color w:val="0000FF"/>
                  <w:sz w:val="20"/>
                  <w:u w:val="single"/>
                </w:rPr>
                <w:t>14</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73bffeb5d0234a1a8b7cd8141a48185f_55">
              <w:r>
                <w:rPr>
                  <w:rStyle w:val="InternetLink"/>
                  <w:rFonts w:ascii="Times New Roman;sans-serif" w:hAnsi="Times New Roman;sans-serif"/>
                  <w:b w:val="false"/>
                  <w:color w:val="0000FF"/>
                  <w:sz w:val="20"/>
                  <w:u w:val="single"/>
                </w:rPr>
                <w:t>5. Debt</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3bffeb5d0234a1a8b7cd8141a48185f_55">
              <w:r>
                <w:rPr>
                  <w:rStyle w:val="InternetLink"/>
                  <w:rFonts w:ascii="Times New Roman;sans-serif" w:hAnsi="Times New Roman;sans-serif"/>
                  <w:b w:val="false"/>
                  <w:color w:val="0000FF"/>
                  <w:sz w:val="20"/>
                  <w:u w:val="single"/>
                </w:rPr>
                <w:t>15</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73bffeb5d0234a1a8b7cd8141a48185f_58">
              <w:r>
                <w:rPr>
                  <w:rStyle w:val="InternetLink"/>
                  <w:rFonts w:ascii="Times New Roman;sans-serif" w:hAnsi="Times New Roman;sans-serif"/>
                  <w:b w:val="false"/>
                  <w:color w:val="0000FF"/>
                  <w:sz w:val="20"/>
                  <w:u w:val="single"/>
                </w:rPr>
                <w:t>6. Partners’ Capital and Distributions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3bffeb5d0234a1a8b7cd8141a48185f_58">
              <w:r>
                <w:rPr>
                  <w:rStyle w:val="InternetLink"/>
                  <w:rFonts w:ascii="Times New Roman;sans-serif" w:hAnsi="Times New Roman;sans-serif"/>
                  <w:b w:val="false"/>
                  <w:color w:val="0000FF"/>
                  <w:sz w:val="20"/>
                  <w:u w:val="single"/>
                </w:rPr>
                <w:t>16</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73bffeb5d0234a1a8b7cd8141a48185f_61">
              <w:r>
                <w:rPr>
                  <w:rStyle w:val="InternetLink"/>
                  <w:rFonts w:ascii="Times New Roman;sans-serif" w:hAnsi="Times New Roman;sans-serif"/>
                  <w:b w:val="false"/>
                  <w:color w:val="0000FF"/>
                  <w:sz w:val="20"/>
                  <w:u w:val="single"/>
                </w:rPr>
                <w:t>7. Derivatives and Risk Management Activities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3bffeb5d0234a1a8b7cd8141a48185f_61">
              <w:r>
                <w:rPr>
                  <w:rStyle w:val="InternetLink"/>
                  <w:rFonts w:ascii="Times New Roman;sans-serif" w:hAnsi="Times New Roman;sans-serif"/>
                  <w:b w:val="false"/>
                  <w:color w:val="0000FF"/>
                  <w:sz w:val="20"/>
                  <w:u w:val="single"/>
                </w:rPr>
                <w:t>18</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73bffeb5d0234a1a8b7cd8141a48185f_64">
              <w:r>
                <w:rPr>
                  <w:rStyle w:val="InternetLink"/>
                  <w:rFonts w:ascii="Times New Roman;sans-serif" w:hAnsi="Times New Roman;sans-serif"/>
                  <w:b w:val="false"/>
                  <w:color w:val="0000FF"/>
                  <w:sz w:val="20"/>
                  <w:u w:val="single"/>
                </w:rPr>
                <w:t>8. Related Party Transactions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3bffeb5d0234a1a8b7cd8141a48185f_64">
              <w:r>
                <w:rPr>
                  <w:rStyle w:val="InternetLink"/>
                  <w:rFonts w:ascii="Times New Roman;sans-serif" w:hAnsi="Times New Roman;sans-serif"/>
                  <w:b w:val="false"/>
                  <w:color w:val="0000FF"/>
                  <w:sz w:val="20"/>
                  <w:u w:val="single"/>
                </w:rPr>
                <w:t>22</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73bffeb5d0234a1a8b7cd8141a48185f_67">
              <w:r>
                <w:rPr>
                  <w:rStyle w:val="InternetLink"/>
                  <w:rFonts w:ascii="Times New Roman;sans-serif" w:hAnsi="Times New Roman;sans-serif"/>
                  <w:b w:val="false"/>
                  <w:color w:val="0000FF"/>
                  <w:sz w:val="20"/>
                  <w:u w:val="single"/>
                </w:rPr>
                <w:t>9. Commitments and Contingencies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3bffeb5d0234a1a8b7cd8141a48185f_67">
              <w:r>
                <w:rPr>
                  <w:rStyle w:val="InternetLink"/>
                  <w:rFonts w:ascii="Times New Roman;sans-serif" w:hAnsi="Times New Roman;sans-serif"/>
                  <w:b w:val="false"/>
                  <w:color w:val="0000FF"/>
                  <w:sz w:val="20"/>
                  <w:u w:val="single"/>
                </w:rPr>
                <w:t>23</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73bffeb5d0234a1a8b7cd8141a48185f_70">
              <w:r>
                <w:rPr>
                  <w:rStyle w:val="InternetLink"/>
                  <w:rFonts w:ascii="Times New Roman;sans-serif" w:hAnsi="Times New Roman;sans-serif"/>
                  <w:b w:val="false"/>
                  <w:color w:val="0000FF"/>
                  <w:sz w:val="20"/>
                  <w:u w:val="single"/>
                </w:rPr>
                <w:t>10. Segment Information</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3bffeb5d0234a1a8b7cd8141a48185f_70">
              <w:r>
                <w:rPr>
                  <w:rStyle w:val="InternetLink"/>
                  <w:rFonts w:ascii="Times New Roman;sans-serif" w:hAnsi="Times New Roman;sans-serif"/>
                  <w:b w:val="false"/>
                  <w:color w:val="0000FF"/>
                  <w:sz w:val="20"/>
                  <w:u w:val="single"/>
                </w:rPr>
                <w:t>28</w:t>
              </w:r>
            </w:hyperlink>
          </w:p>
        </w:tc>
      </w:tr>
      <w:tr>
        <w:trPr/>
        <w:tc>
          <w:tcPr>
            <w:tcW w:w="9692"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color w:val="000000"/>
              </w:rPr>
            </w:pPr>
            <w:r>
              <w:rPr>
                <w:color w:val="000000"/>
              </w:rPr>
              <w:t> </w:t>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ind w:left="0" w:right="0" w:hanging="630"/>
              <w:jc w:val="left"/>
              <w:rPr/>
            </w:pPr>
            <w:hyperlink w:anchor="i73bffeb5d0234a1a8b7cd8141a48185f_79">
              <w:r>
                <w:rPr>
                  <w:rStyle w:val="InternetLink"/>
                  <w:rFonts w:ascii="Times New Roman;sans-serif" w:hAnsi="Times New Roman;sans-serif"/>
                  <w:b w:val="false"/>
                  <w:color w:val="0000FF"/>
                  <w:sz w:val="20"/>
                  <w:u w:val="single"/>
                </w:rPr>
                <w:t>Item 2. MANAGEMENT’S DISCUSSION AND ANALYSIS OF FINANCIAL CONDITION AND RESULTS OF OPERATIONS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3bffeb5d0234a1a8b7cd8141a48185f_79">
              <w:r>
                <w:rPr>
                  <w:rStyle w:val="InternetLink"/>
                  <w:rFonts w:ascii="Times New Roman;sans-serif" w:hAnsi="Times New Roman;sans-serif"/>
                  <w:b w:val="false"/>
                  <w:color w:val="0000FF"/>
                  <w:sz w:val="20"/>
                  <w:u w:val="single"/>
                </w:rPr>
                <w:t>32</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73bffeb5d0234a1a8b7cd8141a48185f_112">
              <w:r>
                <w:rPr>
                  <w:rStyle w:val="InternetLink"/>
                  <w:rFonts w:ascii="Times New Roman;sans-serif" w:hAnsi="Times New Roman;sans-serif"/>
                  <w:b w:val="false"/>
                  <w:color w:val="0000FF"/>
                  <w:sz w:val="20"/>
                  <w:u w:val="single"/>
                </w:rPr>
                <w:t>Item 3. QUANTITATIVE AND QUALITATIVE DISCLOSURES ABOUT MARKET RISK</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3bffeb5d0234a1a8b7cd8141a48185f_112">
              <w:r>
                <w:rPr>
                  <w:rStyle w:val="InternetLink"/>
                  <w:rFonts w:ascii="Times New Roman;sans-serif" w:hAnsi="Times New Roman;sans-serif"/>
                  <w:b w:val="false"/>
                  <w:color w:val="0000FF"/>
                  <w:sz w:val="20"/>
                  <w:u w:val="single"/>
                </w:rPr>
                <w:t>47</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73bffeb5d0234a1a8b7cd8141a48185f_115">
              <w:r>
                <w:rPr>
                  <w:rStyle w:val="InternetLink"/>
                  <w:rFonts w:ascii="Times New Roman;sans-serif" w:hAnsi="Times New Roman;sans-serif"/>
                  <w:b w:val="false"/>
                  <w:color w:val="0000FF"/>
                  <w:sz w:val="20"/>
                  <w:u w:val="single"/>
                </w:rPr>
                <w:t>Item 4. CONTROLS AND PROCEDURES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3bffeb5d0234a1a8b7cd8141a48185f_115">
              <w:r>
                <w:rPr>
                  <w:rStyle w:val="InternetLink"/>
                  <w:rFonts w:ascii="Times New Roman;sans-serif" w:hAnsi="Times New Roman;sans-serif"/>
                  <w:b w:val="false"/>
                  <w:color w:val="0000FF"/>
                  <w:sz w:val="20"/>
                  <w:u w:val="single"/>
                </w:rPr>
                <w:t>49</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color w:val="000000"/>
              </w:rPr>
            </w:pPr>
            <w:r>
              <w:rPr>
                <w:color w:val="000000"/>
              </w:rPr>
              <w:t> </w:t>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73bffeb5d0234a1a8b7cd8141a48185f_118">
              <w:r>
                <w:rPr>
                  <w:rStyle w:val="InternetLink"/>
                  <w:rFonts w:ascii="Times New Roman;sans-serif" w:hAnsi="Times New Roman;sans-serif"/>
                  <w:b/>
                  <w:color w:val="0000FF"/>
                  <w:sz w:val="20"/>
                  <w:u w:val="single"/>
                </w:rPr>
                <w:t>PART II. OTHER INFORMATION</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73bffeb5d0234a1a8b7cd8141a48185f_121">
              <w:r>
                <w:rPr>
                  <w:rStyle w:val="InternetLink"/>
                  <w:rFonts w:ascii="Times New Roman;sans-serif" w:hAnsi="Times New Roman;sans-serif"/>
                  <w:b w:val="false"/>
                  <w:color w:val="0000FF"/>
                  <w:sz w:val="20"/>
                  <w:u w:val="single"/>
                </w:rPr>
                <w:t>Item 1. LEGAL PROCEEDINGS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3bffeb5d0234a1a8b7cd8141a48185f_121">
              <w:r>
                <w:rPr>
                  <w:rStyle w:val="InternetLink"/>
                  <w:rFonts w:ascii="Times New Roman;sans-serif" w:hAnsi="Times New Roman;sans-serif"/>
                  <w:b w:val="false"/>
                  <w:color w:val="0000FF"/>
                  <w:sz w:val="20"/>
                  <w:u w:val="single"/>
                </w:rPr>
                <w:t>49</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73bffeb5d0234a1a8b7cd8141a48185f_124">
              <w:r>
                <w:rPr>
                  <w:rStyle w:val="InternetLink"/>
                  <w:rFonts w:ascii="Times New Roman;sans-serif" w:hAnsi="Times New Roman;sans-serif"/>
                  <w:b w:val="false"/>
                  <w:color w:val="0000FF"/>
                  <w:sz w:val="20"/>
                  <w:u w:val="single"/>
                </w:rPr>
                <w:t>Item 1A. RISK FACTORS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3bffeb5d0234a1a8b7cd8141a48185f_124">
              <w:r>
                <w:rPr>
                  <w:rStyle w:val="InternetLink"/>
                  <w:rFonts w:ascii="Times New Roman;sans-serif" w:hAnsi="Times New Roman;sans-serif"/>
                  <w:b w:val="false"/>
                  <w:color w:val="0000FF"/>
                  <w:sz w:val="20"/>
                  <w:u w:val="single"/>
                </w:rPr>
                <w:t>50</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73bffeb5d0234a1a8b7cd8141a48185f_127">
              <w:r>
                <w:rPr>
                  <w:rStyle w:val="InternetLink"/>
                  <w:rFonts w:ascii="Times New Roman;sans-serif" w:hAnsi="Times New Roman;sans-serif"/>
                  <w:b w:val="false"/>
                  <w:color w:val="0000FF"/>
                  <w:sz w:val="20"/>
                  <w:u w:val="single"/>
                </w:rPr>
                <w:t>Item 2. UNREGISTERED SALES OF EQUITY SECURITIES AND USE OF PROCEEDS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3bffeb5d0234a1a8b7cd8141a48185f_127">
              <w:r>
                <w:rPr>
                  <w:rStyle w:val="InternetLink"/>
                  <w:rFonts w:ascii="Times New Roman;sans-serif" w:hAnsi="Times New Roman;sans-serif"/>
                  <w:b w:val="false"/>
                  <w:color w:val="0000FF"/>
                  <w:sz w:val="20"/>
                  <w:u w:val="single"/>
                </w:rPr>
                <w:t>50</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73bffeb5d0234a1a8b7cd8141a48185f_130">
              <w:r>
                <w:rPr>
                  <w:rStyle w:val="InternetLink"/>
                  <w:rFonts w:ascii="Times New Roman;sans-serif" w:hAnsi="Times New Roman;sans-serif"/>
                  <w:b w:val="false"/>
                  <w:color w:val="0000FF"/>
                  <w:sz w:val="20"/>
                  <w:u w:val="single"/>
                </w:rPr>
                <w:t>Item 3. DEFAULTS UPON SENIOR SECURITIES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3bffeb5d0234a1a8b7cd8141a48185f_130">
              <w:r>
                <w:rPr>
                  <w:rStyle w:val="InternetLink"/>
                  <w:rFonts w:ascii="Times New Roman;sans-serif" w:hAnsi="Times New Roman;sans-serif"/>
                  <w:b w:val="false"/>
                  <w:color w:val="0000FF"/>
                  <w:sz w:val="20"/>
                  <w:u w:val="single"/>
                </w:rPr>
                <w:t>50</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73bffeb5d0234a1a8b7cd8141a48185f_133">
              <w:r>
                <w:rPr>
                  <w:rStyle w:val="InternetLink"/>
                  <w:rFonts w:ascii="Times New Roman;sans-serif" w:hAnsi="Times New Roman;sans-serif"/>
                  <w:b w:val="false"/>
                  <w:color w:val="0000FF"/>
                  <w:sz w:val="20"/>
                  <w:u w:val="single"/>
                </w:rPr>
                <w:t>Item 4. MINE SAFETY DISCLOSURES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3bffeb5d0234a1a8b7cd8141a48185f_133">
              <w:r>
                <w:rPr>
                  <w:rStyle w:val="InternetLink"/>
                  <w:rFonts w:ascii="Times New Roman;sans-serif" w:hAnsi="Times New Roman;sans-serif"/>
                  <w:b w:val="false"/>
                  <w:color w:val="0000FF"/>
                  <w:sz w:val="20"/>
                  <w:u w:val="single"/>
                </w:rPr>
                <w:t>50</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73bffeb5d0234a1a8b7cd8141a48185f_136">
              <w:r>
                <w:rPr>
                  <w:rStyle w:val="InternetLink"/>
                  <w:rFonts w:ascii="Times New Roman;sans-serif" w:hAnsi="Times New Roman;sans-serif"/>
                  <w:b w:val="false"/>
                  <w:color w:val="0000FF"/>
                  <w:sz w:val="20"/>
                  <w:u w:val="single"/>
                </w:rPr>
                <w:t>Item 5. OTHER INFORMATION</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3bffeb5d0234a1a8b7cd8141a48185f_136">
              <w:r>
                <w:rPr>
                  <w:rStyle w:val="InternetLink"/>
                  <w:rFonts w:ascii="Times New Roman;sans-serif" w:hAnsi="Times New Roman;sans-serif"/>
                  <w:b w:val="false"/>
                  <w:color w:val="0000FF"/>
                  <w:sz w:val="20"/>
                  <w:u w:val="single"/>
                </w:rPr>
                <w:t>50</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73bffeb5d0234a1a8b7cd8141a48185f_139">
              <w:r>
                <w:rPr>
                  <w:rStyle w:val="InternetLink"/>
                  <w:rFonts w:ascii="Times New Roman;sans-serif" w:hAnsi="Times New Roman;sans-serif"/>
                  <w:b w:val="false"/>
                  <w:color w:val="0000FF"/>
                  <w:sz w:val="20"/>
                  <w:u w:val="single"/>
                </w:rPr>
                <w:t>Item 6. EXHIBITS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3bffeb5d0234a1a8b7cd8141a48185f_139">
              <w:r>
                <w:rPr>
                  <w:rStyle w:val="InternetLink"/>
                  <w:rFonts w:ascii="Times New Roman;sans-serif" w:hAnsi="Times New Roman;sans-serif"/>
                  <w:b w:val="false"/>
                  <w:color w:val="0000FF"/>
                  <w:sz w:val="20"/>
                  <w:u w:val="single"/>
                </w:rPr>
                <w:t>51</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73bffeb5d0234a1a8b7cd8141a48185f_145">
              <w:r>
                <w:rPr>
                  <w:rStyle w:val="InternetLink"/>
                  <w:rFonts w:ascii="Times New Roman;sans-serif" w:hAnsi="Times New Roman;sans-serif"/>
                  <w:b w:val="false"/>
                  <w:color w:val="0000FF"/>
                  <w:sz w:val="20"/>
                  <w:u w:val="single"/>
                </w:rPr>
                <w:t>SIGNATURES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3bffeb5d0234a1a8b7cd8141a48185f_145">
              <w:r>
                <w:rPr>
                  <w:rStyle w:val="InternetLink"/>
                  <w:rFonts w:ascii="Times New Roman;sans-serif" w:hAnsi="Times New Roman;sans-serif"/>
                  <w:b w:val="false"/>
                  <w:color w:val="0000FF"/>
                  <w:sz w:val="20"/>
                  <w:u w:val="single"/>
                </w:rPr>
                <w:t>54</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73bffeb5d0234a1a8b7cd8141a48185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r>
        <w:rPr>
          <w:rFonts w:ascii="Times New Roman;sans-serif" w:hAnsi="Times New Roman;sans-serif"/>
          <w:b/>
          <w:color w:val="000000"/>
          <w:sz w:val="20"/>
        </w:rPr>
        <w:t>Item 1.</w:t>
      </w:r>
      <w:r>
        <w:rPr>
          <w:color w:val="000000"/>
        </w:rPr>
        <w:t>    </w:t>
      </w:r>
      <w:r>
        <w:rPr>
          <w:rFonts w:ascii="Times New Roman;sans-serif" w:hAnsi="Times New Roman;sans-serif"/>
          <w:b/>
          <w:color w:val="000000"/>
          <w:sz w:val="20"/>
        </w:rPr>
        <w:t>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(in millions, except share data)</w:t>
      </w:r>
    </w:p>
    <w:tbl>
      <w:tblPr>
        <w:tblW w:w="9572" w:type="dxa"/>
        <w:jc w:val="center"/>
        <w:tblInd w:w="0" w:type="dxa"/>
        <w:tblLayout w:type="fixed"/>
        <w:tblCellMar>
          <w:top w:w="28" w:type="dxa"/>
          <w:left w:w="28" w:type="dxa"/>
          <w:bottom w:w="28" w:type="dxa"/>
          <w:right w:w="28" w:type="dxa"/>
        </w:tblCellMar>
      </w:tblPr>
      <w:tblGrid>
        <w:gridCol w:w="2553"/>
        <w:gridCol w:w="2240"/>
        <w:gridCol w:w="2272"/>
        <w:gridCol w:w="211"/>
        <w:gridCol w:w="721"/>
        <w:gridCol w:w="109"/>
        <w:gridCol w:w="109"/>
        <w:gridCol w:w="109"/>
        <w:gridCol w:w="109"/>
        <w:gridCol w:w="221"/>
        <w:gridCol w:w="757"/>
        <w:gridCol w:w="161"/>
      </w:tblGrid>
      <w:tr>
        <w:trPr/>
        <w:tc>
          <w:tcPr>
            <w:tcW w:w="2553" w:type="dxa"/>
            <w:tcBorders/>
            <w:vAlign w:val="center"/>
          </w:tcPr>
          <w:p>
            <w:pPr>
              <w:pStyle w:val="TableContents"/>
              <w:bidi w:val="0"/>
              <w:spacing w:before="0" w:after="283"/>
              <w:jc w:val="left"/>
              <w:rPr>
                <w:sz w:val="4"/>
                <w:szCs w:val="4"/>
              </w:rPr>
            </w:pPr>
            <w:r>
              <w:rPr>
                <w:sz w:val="4"/>
                <w:szCs w:val="4"/>
              </w:rPr>
            </w:r>
          </w:p>
        </w:tc>
        <w:tc>
          <w:tcPr>
            <w:tcW w:w="2240" w:type="dxa"/>
            <w:tcBorders/>
            <w:vAlign w:val="center"/>
          </w:tcPr>
          <w:p>
            <w:pPr>
              <w:pStyle w:val="TableContents"/>
              <w:bidi w:val="0"/>
              <w:spacing w:before="0" w:after="283"/>
              <w:jc w:val="left"/>
              <w:rPr>
                <w:sz w:val="4"/>
                <w:szCs w:val="4"/>
              </w:rPr>
            </w:pPr>
            <w:r>
              <w:rPr>
                <w:sz w:val="4"/>
                <w:szCs w:val="4"/>
              </w:rPr>
            </w:r>
          </w:p>
        </w:tc>
        <w:tc>
          <w:tcPr>
            <w:tcW w:w="22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70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0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19"/>
              </w:rPr>
            </w:pPr>
            <w:r>
              <w:rPr>
                <w:rFonts w:ascii="Times New Roman;sans-serif" w:hAnsi="Times New Roman;sans-serif"/>
                <w:b/>
                <w:color w:val="000000"/>
                <w:sz w:val="19"/>
              </w:rPr>
              <w:t>ASSETS</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19"/>
              </w:rPr>
            </w:pPr>
            <w:r>
              <w:rPr>
                <w:rFonts w:ascii="Times New Roman;sans-serif" w:hAnsi="Times New Roman;sans-serif"/>
                <w:b/>
                <w:color w:val="000000"/>
                <w:sz w:val="19"/>
              </w:rPr>
              <w:t>CURRENT ASSETS</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9"/>
              </w:rPr>
            </w:pPr>
            <w:r>
              <w:rPr>
                <w:rFonts w:ascii="Times New Roman;sans-serif" w:hAnsi="Times New Roman;sans-serif"/>
                <w:b w:val="false"/>
                <w:color w:val="000000"/>
                <w:sz w:val="19"/>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453 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9"/>
              </w:rPr>
            </w:pPr>
            <w:r>
              <w:rPr>
                <w:rFonts w:ascii="Times New Roman;sans-serif" w:hAnsi="Times New Roman;sans-serif"/>
                <w:b w:val="false"/>
                <w:color w:val="000000"/>
                <w:sz w:val="19"/>
              </w:rPr>
              <w:t>Trade accounts receivable and other receivables,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3,760 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9"/>
              </w:rPr>
            </w:pPr>
            <w:r>
              <w:rPr>
                <w:rFonts w:ascii="Times New Roman;sans-serif" w:hAnsi="Times New Roman;sans-serif"/>
                <w:b w:val="false"/>
                <w:color w:val="000000"/>
                <w:sz w:val="19"/>
              </w:rPr>
              <w:t>Inventory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548 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9"/>
              </w:rPr>
            </w:pPr>
            <w:r>
              <w:rPr>
                <w:rFonts w:ascii="Times New Roman;sans-serif" w:hAnsi="Times New Roman;sans-serif"/>
                <w:b w:val="false"/>
                <w:color w:val="000000"/>
                <w:sz w:val="19"/>
              </w:rPr>
              <w:t>Other 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9"/>
              </w:rPr>
            </w:pPr>
            <w:r>
              <w:rPr>
                <w:rFonts w:ascii="Times New Roman;sans-serif" w:hAnsi="Times New Roman;sans-serif"/>
                <w:b w:val="false"/>
                <w:color w:val="000000"/>
                <w:sz w:val="19"/>
              </w:rPr>
              <w:t>Total current assets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5,004 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4,916 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19"/>
              </w:rPr>
            </w:pPr>
            <w:r>
              <w:rPr>
                <w:rFonts w:ascii="Times New Roman;sans-serif" w:hAnsi="Times New Roman;sans-serif"/>
                <w:b/>
                <w:color w:val="000000"/>
                <w:sz w:val="19"/>
              </w:rPr>
              <w:t>PROPERTY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21,143 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9"/>
              </w:rPr>
            </w:pPr>
            <w:r>
              <w:rPr>
                <w:rFonts w:ascii="Times New Roman;sans-serif" w:hAnsi="Times New Roman;sans-serif"/>
                <w:b w:val="false"/>
                <w:color w:val="000000"/>
                <w:sz w:val="19"/>
              </w:rPr>
              <w:t>Accumulated depreciation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(5,491)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(5,361)</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9"/>
              </w:rPr>
            </w:pPr>
            <w:r>
              <w:rPr>
                <w:rFonts w:ascii="Times New Roman;sans-serif" w:hAnsi="Times New Roman;sans-serif"/>
                <w:b w:val="false"/>
                <w:color w:val="000000"/>
                <w:sz w:val="19"/>
              </w:rPr>
              <w:t>Property and equipment, net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15,671 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15,782 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19"/>
              </w:rPr>
            </w:pPr>
            <w:r>
              <w:rPr>
                <w:rFonts w:ascii="Times New Roman;sans-serif" w:hAnsi="Times New Roman;sans-serif"/>
                <w:b/>
                <w:color w:val="000000"/>
                <w:sz w:val="19"/>
              </w:rPr>
              <w:t>OTHER ASSETS</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9"/>
              </w:rPr>
            </w:pPr>
            <w:r>
              <w:rPr>
                <w:rFonts w:ascii="Times New Roman;sans-serif" w:hAnsi="Times New Roman;sans-serif"/>
                <w:b w:val="false"/>
                <w:color w:val="000000"/>
                <w:sz w:val="19"/>
              </w:rPr>
              <w:t>Investments in unconsolidated entities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2,820 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Intangible assets,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1,875 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9"/>
              </w:rPr>
            </w:pPr>
            <w:r>
              <w:rPr>
                <w:rFonts w:ascii="Times New Roman;sans-serif" w:hAnsi="Times New Roman;sans-serif"/>
                <w:b w:val="false"/>
                <w:color w:val="000000"/>
                <w:sz w:val="19"/>
              </w:rPr>
              <w:t>Deferred tax asset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1,239 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Linefill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976 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9"/>
              </w:rPr>
            </w:pPr>
            <w:r>
              <w:rPr>
                <w:rFonts w:ascii="Times New Roman;sans-serif" w:hAnsi="Times New Roman;sans-serif"/>
                <w:b w:val="false"/>
                <w:color w:val="000000"/>
                <w:sz w:val="19"/>
              </w:rPr>
              <w:t>Long-term operating lease right-of-use assets,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9"/>
              </w:rPr>
            </w:pPr>
            <w:r>
              <w:rPr>
                <w:rFonts w:ascii="Times New Roman;sans-serif" w:hAnsi="Times New Roman;sans-serif"/>
                <w:b w:val="false"/>
                <w:color w:val="000000"/>
                <w:sz w:val="19"/>
              </w:rPr>
              <w:t>Long-term inventory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9"/>
              </w:rPr>
            </w:pPr>
            <w:r>
              <w:rPr>
                <w:rFonts w:ascii="Times New Roman;sans-serif" w:hAnsi="Times New Roman;sans-serif"/>
                <w:b w:val="false"/>
                <w:color w:val="000000"/>
                <w:sz w:val="19"/>
              </w:rPr>
              <w:t>Other long-term assets,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411 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9"/>
              </w:rPr>
            </w:pPr>
            <w:r>
              <w:rPr>
                <w:rFonts w:ascii="Times New Roman;sans-serif" w:hAnsi="Times New Roman;sans-serif"/>
                <w:b w:val="false"/>
                <w:color w:val="000000"/>
                <w:sz w:val="19"/>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28,590 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28,597 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19"/>
              </w:rPr>
            </w:pPr>
            <w:r>
              <w:rPr>
                <w:rFonts w:ascii="Times New Roman;sans-serif" w:hAnsi="Times New Roman;sans-serif"/>
                <w:b/>
                <w:color w:val="000000"/>
                <w:sz w:val="19"/>
              </w:rPr>
              <w:t>LIABILITIES AND PARTNERS’ CAPITAL</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19"/>
              </w:rPr>
            </w:pPr>
            <w:r>
              <w:rPr>
                <w:rFonts w:ascii="Times New Roman;sans-serif" w:hAnsi="Times New Roman;sans-serif"/>
                <w:b/>
                <w:color w:val="000000"/>
                <w:sz w:val="19"/>
              </w:rPr>
              <w:t>CURRENT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9"/>
              </w:rPr>
            </w:pPr>
            <w:r>
              <w:rPr>
                <w:rFonts w:ascii="Times New Roman;sans-serif" w:hAnsi="Times New Roman;sans-serif"/>
                <w:b w:val="false"/>
                <w:color w:val="000000"/>
                <w:sz w:val="19"/>
              </w:rPr>
              <w:t>Trade 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3,845 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9"/>
              </w:rPr>
            </w:pPr>
            <w:r>
              <w:rPr>
                <w:rFonts w:ascii="Times New Roman;sans-serif" w:hAnsi="Times New Roman;sans-serif"/>
                <w:b w:val="false"/>
                <w:color w:val="000000"/>
                <w:sz w:val="19"/>
              </w:rPr>
              <w:t>Short-term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446 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9"/>
              </w:rPr>
            </w:pPr>
            <w:r>
              <w:rPr>
                <w:rFonts w:ascii="Times New Roman;sans-serif" w:hAnsi="Times New Roman;sans-serif"/>
                <w:b w:val="false"/>
                <w:color w:val="000000"/>
                <w:sz w:val="19"/>
              </w:rPr>
              <w:t>Other current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714 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9"/>
              </w:rPr>
            </w:pPr>
            <w:r>
              <w:rPr>
                <w:rFonts w:ascii="Times New Roman;sans-serif" w:hAnsi="Times New Roman;sans-serif"/>
                <w:b w:val="false"/>
                <w:color w:val="000000"/>
                <w:sz w:val="19"/>
              </w:rPr>
              <w:t>Total current liabilities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5,146 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5,005 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19"/>
              </w:rPr>
            </w:pPr>
            <w:r>
              <w:rPr>
                <w:rFonts w:ascii="Times New Roman;sans-serif" w:hAnsi="Times New Roman;sans-serif"/>
                <w:b/>
                <w:color w:val="000000"/>
                <w:sz w:val="19"/>
              </w:rPr>
              <w:t>LONG-TERM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9"/>
              </w:rPr>
            </w:pPr>
            <w:r>
              <w:rPr>
                <w:rFonts w:ascii="Times New Roman;sans-serif" w:hAnsi="Times New Roman;sans-serif"/>
                <w:b w:val="false"/>
                <w:color w:val="000000"/>
                <w:sz w:val="19"/>
              </w:rPr>
              <w:t>Senior notes,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7,242 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9"/>
              </w:rPr>
            </w:pPr>
            <w:r>
              <w:rPr>
                <w:rFonts w:ascii="Times New Roman;sans-serif" w:hAnsi="Times New Roman;sans-serif"/>
                <w:b w:val="false"/>
                <w:color w:val="000000"/>
                <w:sz w:val="19"/>
              </w:rPr>
              <w:t>Other long-term debt,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9"/>
              </w:rPr>
            </w:pPr>
            <w:r>
              <w:rPr>
                <w:rFonts w:ascii="Times New Roman;sans-serif" w:hAnsi="Times New Roman;sans-serif"/>
                <w:b w:val="false"/>
                <w:color w:val="000000"/>
                <w:sz w:val="19"/>
              </w:rPr>
              <w:t>Long-term operating lease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9"/>
              </w:rPr>
            </w:pPr>
            <w:r>
              <w:rPr>
                <w:rFonts w:ascii="Times New Roman;sans-serif" w:hAnsi="Times New Roman;sans-serif"/>
                <w:b w:val="false"/>
                <w:color w:val="000000"/>
                <w:sz w:val="19"/>
              </w:rPr>
              <w:t>Other long-term liabilities and deferred credits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1,041 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9"/>
              </w:rPr>
            </w:pPr>
            <w:r>
              <w:rPr>
                <w:rFonts w:ascii="Times New Roman;sans-serif" w:hAnsi="Times New Roman;sans-serif"/>
                <w:b w:val="false"/>
                <w:color w:val="000000"/>
                <w:sz w:val="19"/>
              </w:rPr>
              <w:t>Total long-term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8,566 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8,620 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COMMITMENTS AND CONTINGENCIES (NOTE 9)</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19"/>
              </w:rPr>
            </w:pPr>
            <w:r>
              <w:rPr>
                <w:rFonts w:ascii="Times New Roman;sans-serif" w:hAnsi="Times New Roman;sans-serif"/>
                <w:b/>
                <w:color w:val="000000"/>
                <w:sz w:val="19"/>
              </w:rPr>
              <w:t>PARTNERS’ CAPITAL</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Class A shareholders (197,252,259 and 196,416,760 shares outstanding, respectively)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1,548 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9"/>
              </w:rPr>
            </w:pPr>
            <w:r>
              <w:rPr>
                <w:rFonts w:ascii="Times New Roman;sans-serif" w:hAnsi="Times New Roman;sans-serif"/>
                <w:b w:val="false"/>
                <w:color w:val="000000"/>
                <w:sz w:val="19"/>
              </w:rPr>
              <w:t>Noncontrolling interests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13,424 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9"/>
              </w:rPr>
            </w:pPr>
            <w:r>
              <w:rPr>
                <w:rFonts w:ascii="Times New Roman;sans-serif" w:hAnsi="Times New Roman;sans-serif"/>
                <w:b w:val="false"/>
                <w:color w:val="000000"/>
                <w:sz w:val="19"/>
              </w:rPr>
              <w:t>Total partners’ capital</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14,878 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14,972 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9"/>
              </w:rPr>
            </w:pPr>
            <w:r>
              <w:rPr>
                <w:rFonts w:ascii="Times New Roman;sans-serif" w:hAnsi="Times New Roman;sans-serif"/>
                <w:b w:val="false"/>
                <w:color w:val="000000"/>
                <w:sz w:val="19"/>
              </w:rPr>
              <w:t>Total liabilities and partners’ capital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28,590 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28,597 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73bffeb5d0234a1a8b7cd8141a48185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 except per share data)</w:t>
      </w:r>
    </w:p>
    <w:p>
      <w:pPr>
        <w:pStyle w:val="TextBody"/>
        <w:bidi w:val="0"/>
        <w:spacing w:before="0" w:after="0"/>
        <w:jc w:val="center"/>
        <w:rPr/>
      </w:pPr>
      <w:r>
        <w:rPr/>
      </w:r>
    </w:p>
    <w:tbl>
      <w:tblPr>
        <w:tblW w:w="9026" w:type="dxa"/>
        <w:jc w:val="center"/>
        <w:tblInd w:w="0" w:type="dxa"/>
        <w:tblLayout w:type="fixed"/>
        <w:tblCellMar>
          <w:top w:w="28" w:type="dxa"/>
          <w:left w:w="28" w:type="dxa"/>
          <w:bottom w:w="28" w:type="dxa"/>
          <w:right w:w="28" w:type="dxa"/>
        </w:tblCellMar>
      </w:tblPr>
      <w:tblGrid>
        <w:gridCol w:w="2101"/>
        <w:gridCol w:w="1840"/>
        <w:gridCol w:w="1849"/>
        <w:gridCol w:w="109"/>
        <w:gridCol w:w="109"/>
        <w:gridCol w:w="139"/>
        <w:gridCol w:w="139"/>
        <w:gridCol w:w="269"/>
        <w:gridCol w:w="919"/>
        <w:gridCol w:w="139"/>
        <w:gridCol w:w="109"/>
        <w:gridCol w:w="109"/>
        <w:gridCol w:w="109"/>
        <w:gridCol w:w="211"/>
        <w:gridCol w:w="721"/>
        <w:gridCol w:w="154"/>
      </w:tblGrid>
      <w:tr>
        <w:trPr/>
        <w:tc>
          <w:tcPr>
            <w:tcW w:w="2101" w:type="dxa"/>
            <w:tcBorders/>
            <w:vAlign w:val="center"/>
          </w:tcPr>
          <w:p>
            <w:pPr>
              <w:pStyle w:val="TableContents"/>
              <w:bidi w:val="0"/>
              <w:spacing w:before="0" w:after="283"/>
              <w:jc w:val="left"/>
              <w:rPr>
                <w:sz w:val="4"/>
                <w:szCs w:val="4"/>
              </w:rPr>
            </w:pPr>
            <w:r>
              <w:rPr>
                <w:sz w:val="4"/>
                <w:szCs w:val="4"/>
              </w:rPr>
            </w:r>
          </w:p>
        </w:tc>
        <w:tc>
          <w:tcPr>
            <w:tcW w:w="1840" w:type="dxa"/>
            <w:tcBorders/>
            <w:vAlign w:val="center"/>
          </w:tcPr>
          <w:p>
            <w:pPr>
              <w:pStyle w:val="TableContents"/>
              <w:bidi w:val="0"/>
              <w:spacing w:before="0" w:after="283"/>
              <w:jc w:val="left"/>
              <w:rPr>
                <w:sz w:val="4"/>
                <w:szCs w:val="4"/>
              </w:rPr>
            </w:pPr>
            <w:r>
              <w:rPr>
                <w:sz w:val="4"/>
                <w:szCs w:val="4"/>
              </w:rPr>
            </w:r>
          </w:p>
        </w:tc>
        <w:tc>
          <w:tcPr>
            <w:tcW w:w="18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57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7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5"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1413" w:type="dxa"/>
            <w:gridSpan w:val="6"/>
            <w:tcBorders/>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color w:val="000000"/>
              </w:rPr>
            </w:pPr>
            <w:r>
              <w:rPr>
                <w:color w:val="000000"/>
              </w:rPr>
              <w:t> </w:t>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11,995 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Purchases and related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Field operating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(Gains)/losses on asset sales,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11,626 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OTHER INCOME/(EXPENSE)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Equity earnings in unconsolidated entities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 of capitalized interest of $2 and $2, respectively)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BEFORE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Current 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(expense)/benefit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ATTRIBUTABLE TO PAGP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weighted average Class A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net income per Class A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0.21 </w:t>
            </w:r>
          </w:p>
        </w:tc>
        <w:tc>
          <w:tcPr>
            <w:tcW w:w="13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0.35 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73bffeb5d0234a1a8b7cd8141a48185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INCOME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w:t>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p>
    <w:tbl>
      <w:tblPr>
        <w:tblW w:w="8214" w:type="dxa"/>
        <w:jc w:val="left"/>
        <w:tblInd w:w="0" w:type="dxa"/>
        <w:tblLayout w:type="fixed"/>
        <w:tblCellMar>
          <w:top w:w="28" w:type="dxa"/>
          <w:left w:w="28" w:type="dxa"/>
          <w:bottom w:w="28" w:type="dxa"/>
          <w:right w:w="28" w:type="dxa"/>
        </w:tblCellMar>
      </w:tblPr>
      <w:tblGrid>
        <w:gridCol w:w="1894"/>
        <w:gridCol w:w="1662"/>
        <w:gridCol w:w="1678"/>
        <w:gridCol w:w="109"/>
        <w:gridCol w:w="109"/>
        <w:gridCol w:w="174"/>
        <w:gridCol w:w="174"/>
        <w:gridCol w:w="337"/>
        <w:gridCol w:w="745"/>
        <w:gridCol w:w="174"/>
        <w:gridCol w:w="109"/>
        <w:gridCol w:w="109"/>
        <w:gridCol w:w="109"/>
        <w:gridCol w:w="211"/>
        <w:gridCol w:w="466"/>
        <w:gridCol w:w="154"/>
      </w:tblGrid>
      <w:tr>
        <w:trPr/>
        <w:tc>
          <w:tcPr>
            <w:tcW w:w="1894"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158" w:type="dxa"/>
            <w:gridSpan w:val="6"/>
            <w:tcBorders/>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4"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1158" w:type="dxa"/>
            <w:gridSpan w:val="6"/>
            <w:tcBorders/>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PAGP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CHANGES IN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ACCUMULATED OTHER COMPREHENSIVE INCOME/(LOSS)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w:t>
      </w:r>
    </w:p>
    <w:p>
      <w:pPr>
        <w:pStyle w:val="TextBody"/>
        <w:bidi w:val="0"/>
        <w:spacing w:lineRule="auto" w:line="288" w:before="0" w:after="0"/>
        <w:jc w:val="center"/>
        <w:rPr>
          <w:color w:val="000000"/>
        </w:rPr>
      </w:pPr>
      <w:r>
        <w:rPr>
          <w:color w:val="000000"/>
        </w:rPr>
        <w:t> </w:t>
      </w:r>
    </w:p>
    <w:tbl>
      <w:tblPr>
        <w:tblW w:w="6549" w:type="dxa"/>
        <w:jc w:val="center"/>
        <w:tblInd w:w="0" w:type="dxa"/>
        <w:tblLayout w:type="fixed"/>
        <w:tblCellMar>
          <w:top w:w="28" w:type="dxa"/>
          <w:left w:w="28" w:type="dxa"/>
          <w:bottom w:w="28" w:type="dxa"/>
          <w:right w:w="28" w:type="dxa"/>
        </w:tblCellMar>
      </w:tblPr>
      <w:tblGrid>
        <w:gridCol w:w="1015"/>
        <w:gridCol w:w="892"/>
        <w:gridCol w:w="897"/>
        <w:gridCol w:w="291"/>
        <w:gridCol w:w="519"/>
        <w:gridCol w:w="151"/>
        <w:gridCol w:w="109"/>
        <w:gridCol w:w="109"/>
        <w:gridCol w:w="109"/>
        <w:gridCol w:w="265"/>
        <w:gridCol w:w="604"/>
        <w:gridCol w:w="137"/>
        <w:gridCol w:w="109"/>
        <w:gridCol w:w="109"/>
        <w:gridCol w:w="109"/>
        <w:gridCol w:w="109"/>
        <w:gridCol w:w="109"/>
        <w:gridCol w:w="211"/>
        <w:gridCol w:w="541"/>
        <w:gridCol w:w="154"/>
      </w:tblGrid>
      <w:tr>
        <w:trPr/>
        <w:tc>
          <w:tcPr>
            <w:tcW w:w="1015"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Derivative</w:t>
              <w:br/>
              <w:t>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Translation</w:t>
              <w:br/>
              <w:t>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12" w:type="dxa"/>
            <w:gridSpan w:val="1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1233" w:type="dxa"/>
            <w:gridSpan w:val="6"/>
            <w:tcBorders/>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2023</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adjustments</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on hedges</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 adjustments</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period activity</w:t>
            </w:r>
          </w:p>
        </w:tc>
        <w:tc>
          <w:tcPr>
            <w:tcW w:w="8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2024</w:t>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7384" w:type="dxa"/>
        <w:jc w:val="center"/>
        <w:tblInd w:w="0" w:type="dxa"/>
        <w:tblLayout w:type="fixed"/>
        <w:tblCellMar>
          <w:top w:w="28" w:type="dxa"/>
          <w:left w:w="28" w:type="dxa"/>
          <w:bottom w:w="28" w:type="dxa"/>
          <w:right w:w="28" w:type="dxa"/>
        </w:tblCellMar>
      </w:tblPr>
      <w:tblGrid>
        <w:gridCol w:w="1015"/>
        <w:gridCol w:w="892"/>
        <w:gridCol w:w="897"/>
        <w:gridCol w:w="253"/>
        <w:gridCol w:w="577"/>
        <w:gridCol w:w="131"/>
        <w:gridCol w:w="109"/>
        <w:gridCol w:w="109"/>
        <w:gridCol w:w="109"/>
        <w:gridCol w:w="265"/>
        <w:gridCol w:w="604"/>
        <w:gridCol w:w="137"/>
        <w:gridCol w:w="109"/>
        <w:gridCol w:w="109"/>
        <w:gridCol w:w="109"/>
        <w:gridCol w:w="211"/>
        <w:gridCol w:w="406"/>
        <w:gridCol w:w="109"/>
        <w:gridCol w:w="109"/>
        <w:gridCol w:w="109"/>
        <w:gridCol w:w="109"/>
        <w:gridCol w:w="211"/>
        <w:gridCol w:w="541"/>
        <w:gridCol w:w="154"/>
      </w:tblGrid>
      <w:tr>
        <w:trPr/>
        <w:tc>
          <w:tcPr>
            <w:tcW w:w="1015"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Derivative</w:t>
              <w:br/>
              <w:t>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Translation</w:t>
              <w:b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8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adjustments</w:t>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 on hedges</w:t>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 adjustments</w:t>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period activity</w:t>
            </w:r>
          </w:p>
        </w:tc>
        <w:tc>
          <w:tcPr>
            <w:tcW w:w="8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2023</w:t>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73bffeb5d0234a1a8b7cd8141a48185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w:t>
      </w:r>
    </w:p>
    <w:p>
      <w:pPr>
        <w:pStyle w:val="TextBody"/>
        <w:bidi w:val="0"/>
        <w:spacing w:before="0" w:after="0"/>
        <w:ind w:left="0" w:right="0" w:firstLine="720"/>
        <w:jc w:val="center"/>
        <w:rPr/>
      </w:pPr>
      <w:r>
        <w:rPr/>
      </w:r>
    </w:p>
    <w:tbl>
      <w:tblPr>
        <w:tblW w:w="8064" w:type="dxa"/>
        <w:jc w:val="center"/>
        <w:tblInd w:w="0" w:type="dxa"/>
        <w:tblLayout w:type="fixed"/>
        <w:tblCellMar>
          <w:top w:w="28" w:type="dxa"/>
          <w:left w:w="28" w:type="dxa"/>
          <w:bottom w:w="28" w:type="dxa"/>
          <w:right w:w="28" w:type="dxa"/>
        </w:tblCellMar>
      </w:tblPr>
      <w:tblGrid>
        <w:gridCol w:w="2218"/>
        <w:gridCol w:w="1949"/>
        <w:gridCol w:w="1953"/>
        <w:gridCol w:w="211"/>
        <w:gridCol w:w="466"/>
        <w:gridCol w:w="109"/>
        <w:gridCol w:w="109"/>
        <w:gridCol w:w="109"/>
        <w:gridCol w:w="109"/>
        <w:gridCol w:w="211"/>
        <w:gridCol w:w="466"/>
        <w:gridCol w:w="154"/>
      </w:tblGrid>
      <w:tr>
        <w:trPr/>
        <w:tc>
          <w:tcPr>
            <w:tcW w:w="2218" w:type="dxa"/>
            <w:tcBorders/>
            <w:vAlign w:val="center"/>
          </w:tcPr>
          <w:p>
            <w:pPr>
              <w:pStyle w:val="TableContents"/>
              <w:bidi w:val="0"/>
              <w:spacing w:before="0" w:after="283"/>
              <w:jc w:val="left"/>
              <w:rPr>
                <w:sz w:val="4"/>
                <w:szCs w:val="4"/>
              </w:rPr>
            </w:pPr>
            <w:r>
              <w:rPr>
                <w:sz w:val="4"/>
                <w:szCs w:val="4"/>
              </w:rPr>
            </w:r>
          </w:p>
        </w:tc>
        <w:tc>
          <w:tcPr>
            <w:tcW w:w="1949" w:type="dxa"/>
            <w:tcBorders/>
            <w:vAlign w:val="center"/>
          </w:tcPr>
          <w:p>
            <w:pPr>
              <w:pStyle w:val="TableContents"/>
              <w:bidi w:val="0"/>
              <w:spacing w:before="0" w:after="283"/>
              <w:jc w:val="left"/>
              <w:rPr>
                <w:sz w:val="4"/>
                <w:szCs w:val="4"/>
              </w:rPr>
            </w:pPr>
            <w:r>
              <w:rPr>
                <w:sz w:val="4"/>
                <w:szCs w:val="4"/>
              </w:rPr>
            </w:r>
          </w:p>
        </w:tc>
        <w:tc>
          <w:tcPr>
            <w:tcW w:w="19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61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61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Reconciliation of net income to net cash provided by operating activities:</w:t>
            </w:r>
          </w:p>
        </w:tc>
        <w:tc>
          <w:tcPr>
            <w:tcW w:w="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(Gains)/losses on asset sales, net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expense/(benefit)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Preferred Distribution Rate Reset Option (Note 7)</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earnings in unconsolidated entities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on earnings from unconsolidated entities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assets and liabilities, net of acquisitions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in connection with acquisitions, net of cash acquired</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unconsolidated entities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to property, equipment and other</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purchases of linefill</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sales of assets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by/(used in) investing activities</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borrowings under PAA commercial paper program (Note 5)</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of PAA senior notes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paid to Class A shareholders (Note 6)</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paid to noncontrolling interests (Note 6)</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Contributions from noncontrolling interests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financing activities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translation adjustment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increase/(decrease) in cash and cash equivalents and restricted cash</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and restricted cash, beginning of period</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and restricted cash,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paid/(received) for:</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net of amounts capitalized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net of amounts refunded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73bffeb5d0234a1a8b7cd8141a48185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CHANGES IN PARTNERS’ CAPITAL</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w:t>
      </w:r>
    </w:p>
    <w:p>
      <w:pPr>
        <w:pStyle w:val="TextBody"/>
        <w:bidi w:val="0"/>
        <w:spacing w:before="0" w:after="0"/>
        <w:jc w:val="center"/>
        <w:rPr/>
      </w:pPr>
      <w:r>
        <w:rPr/>
      </w:r>
    </w:p>
    <w:tbl>
      <w:tblPr>
        <w:tblW w:w="8006" w:type="dxa"/>
        <w:jc w:val="center"/>
        <w:tblInd w:w="0" w:type="dxa"/>
        <w:tblLayout w:type="fixed"/>
        <w:tblCellMar>
          <w:top w:w="28" w:type="dxa"/>
          <w:left w:w="28" w:type="dxa"/>
          <w:bottom w:w="28" w:type="dxa"/>
          <w:right w:w="28" w:type="dxa"/>
        </w:tblCellMar>
      </w:tblPr>
      <w:tblGrid>
        <w:gridCol w:w="1330"/>
        <w:gridCol w:w="1169"/>
        <w:gridCol w:w="1176"/>
        <w:gridCol w:w="236"/>
        <w:gridCol w:w="691"/>
        <w:gridCol w:w="124"/>
        <w:gridCol w:w="109"/>
        <w:gridCol w:w="109"/>
        <w:gridCol w:w="109"/>
        <w:gridCol w:w="243"/>
        <w:gridCol w:w="831"/>
        <w:gridCol w:w="127"/>
        <w:gridCol w:w="109"/>
        <w:gridCol w:w="109"/>
        <w:gridCol w:w="109"/>
        <w:gridCol w:w="277"/>
        <w:gridCol w:w="946"/>
        <w:gridCol w:w="202"/>
      </w:tblGrid>
      <w:tr>
        <w:trPr/>
        <w:tc>
          <w:tcPr>
            <w:tcW w:w="1330"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w:t>
              <w:br/>
              <w:t>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w:t>
              <w:br/>
              <w:t>Partners’ Capital</w:t>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3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2023</w:t>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13,424 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14,972 </w:t>
            </w:r>
          </w:p>
        </w:tc>
        <w:tc>
          <w:tcPr>
            <w:tcW w:w="20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9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2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294 </w:t>
            </w:r>
          </w:p>
        </w:tc>
        <w:tc>
          <w:tcPr>
            <w:tcW w:w="12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336 </w:t>
            </w:r>
          </w:p>
        </w:tc>
        <w:tc>
          <w:tcPr>
            <w:tcW w:w="20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(Note 6)</w:t>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Contributions from noncontrolling interests</w:t>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2024</w:t>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1,518 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13,360 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14,878 </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80" w:type="dxa"/>
            <w:gridSpan w:val="12"/>
            <w:tcBorders/>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tbl>
      <w:tblPr>
        <w:tblW w:w="8601" w:type="dxa"/>
        <w:jc w:val="center"/>
        <w:tblInd w:w="0" w:type="dxa"/>
        <w:tblLayout w:type="fixed"/>
        <w:tblCellMar>
          <w:top w:w="28" w:type="dxa"/>
          <w:left w:w="28" w:type="dxa"/>
          <w:bottom w:w="28" w:type="dxa"/>
          <w:right w:w="28" w:type="dxa"/>
        </w:tblCellMar>
      </w:tblPr>
      <w:tblGrid>
        <w:gridCol w:w="939"/>
        <w:gridCol w:w="825"/>
        <w:gridCol w:w="830"/>
        <w:gridCol w:w="367"/>
        <w:gridCol w:w="1075"/>
        <w:gridCol w:w="193"/>
        <w:gridCol w:w="109"/>
        <w:gridCol w:w="109"/>
        <w:gridCol w:w="109"/>
        <w:gridCol w:w="376"/>
        <w:gridCol w:w="1287"/>
        <w:gridCol w:w="196"/>
        <w:gridCol w:w="109"/>
        <w:gridCol w:w="109"/>
        <w:gridCol w:w="109"/>
        <w:gridCol w:w="361"/>
        <w:gridCol w:w="1235"/>
        <w:gridCol w:w="263"/>
      </w:tblGrid>
      <w:tr>
        <w:trPr/>
        <w:tc>
          <w:tcPr>
            <w:tcW w:w="93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 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Partners’ Capital</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1,524 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14,638 </w:t>
            </w:r>
          </w:p>
        </w:tc>
        <w:tc>
          <w:tcPr>
            <w:tcW w:w="2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4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9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443 </w:t>
            </w:r>
          </w:p>
        </w:tc>
        <w:tc>
          <w:tcPr>
            <w:tcW w:w="26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w:t>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2023</w:t>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1,544 </w:t>
            </w:r>
          </w:p>
        </w:tc>
        <w:tc>
          <w:tcPr>
            <w:tcW w:w="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13,220 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14,764 </w:t>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4372" w:type="dxa"/>
            <w:gridSpan w:val="12"/>
            <w:tcBorders/>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color w:val="000000"/>
        </w:rPr>
      </w:pPr>
      <w:r>
        <w:rPr>
          <w:color w:val="000000"/>
        </w:rPr>
        <w:t> </w:t>
      </w:r>
      <w:r>
        <w:rPr>
          <w:rFonts w:ascii="Times New Roman;sans-serif" w:hAnsi="Times New Roman;sans-serif"/>
          <w:b w:val="false"/>
          <w:color w:val="000000"/>
          <w:sz w:val="20"/>
        </w:rPr>
        <w:t>The accompanying notes are an integral part of these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73bffeb5d0234a1a8b7cd8141a48185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1—Organization and Basis of Consolidation and Presentation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Organization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Plains GP Holdings, L.P. (“PAGP”) is a Delaware limited partnership formed in 2013 that has elected to be taxed as a corporation for United States federal income tax purposes. PAGP does not directly own any operating assets; as of March 31, 2024, its principal source of cash flow is derived from an indirect investment in Plains All American Pipeline, L.P. (“PAA”), a publicly traded Delaware limited partnership. As used in this Form 10-Q and unless the context indicates otherwise (taking into account the fact that PAGP has no operating activities apart from those conducted by PAA and its subsidiaries), the terms “Partnership,” “we,” “us,” “our,” “ours” and similar terms refer to PAGP and its subsidiaries.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2024, we owned an approximate 85% limited partner interest in Plains AAP L.P. (“AAP”) through our ownership of approximately 197.3 million Class A units of AAP (“AAP Units”). We also own a 100% managing member interest in Plains All American GP LLC (“GP LLC”), a Delaware limited liability company that holds the non-economic general partner interest in AAP. AAP is a Delaware limited partnership that, as of March 31, 2024, directly owned a limited partner interest in PAA through its ownership of approximately 232.7 million PAA common units (approximately 30% of PAA’s total outstanding common units and Series A preferred units combined). AAP is the sole member of PAA GP LLC (“PAA GP”), a Delaware limited liability company that directly holds the non-economic general partner interest in PAA.</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PAA’s business model integrates large-scale supply aggregation capabilities with the ownership and operation of critical midstream infrastructure systems that connect major producing regions to key demand centers and export terminals. As one of the largest midstream service providers in North America, PAA owns an extensive network of pipeline transportation, terminalling, storage and gathering assets in key crude oil and natural gas liquids (“NGL”) producing basins (including the Permian Basin) and transportation corridors and at major market hubs in the United States and Canada. PAA’s assets and the services it provides are primarily focused on and conducted through two operating segments: Crude Oil and NGL. See Note 10 for further discussion of our operating segments.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PAA GP Holdings LLC, a Delaware limited liability company, is our general partner. Our general partner manages our operations and activities and is responsible for exercising on our behalf any rights we have as the sole and managing member of GP LLC, including responsibility for conducting the business and managing the operations of AAP and PAA. GP LLC employs our domestic officers and personnel involved in the operation and management of AAP and PAA. PAA’s Canadian officers and personnel are employed by our subsidiary, Plains Midstream Canada ULC.</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References to the “Plains Entities” include us, our general partner, GP LLC, AAP, PAA GP and PAA and its subsidiaries.</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73bffeb5d0234a1a8b7cd8141a48185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Definitions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Additional defined terms are used in this Form 10-Q and shall have the meanings indicated below:</w:t>
      </w:r>
    </w:p>
    <w:p>
      <w:pPr>
        <w:pStyle w:val="TextBody"/>
        <w:bidi w:val="0"/>
        <w:spacing w:before="0" w:after="0"/>
        <w:jc w:val="left"/>
        <w:rPr/>
      </w:pPr>
      <w:r>
        <w:rPr/>
      </w:r>
    </w:p>
    <w:tbl>
      <w:tblPr>
        <w:tblW w:w="6312" w:type="dxa"/>
        <w:jc w:val="left"/>
        <w:tblInd w:w="0" w:type="dxa"/>
        <w:tblLayout w:type="fixed"/>
        <w:tblCellMar>
          <w:top w:w="28" w:type="dxa"/>
          <w:left w:w="28" w:type="dxa"/>
          <w:bottom w:w="28" w:type="dxa"/>
          <w:right w:w="28" w:type="dxa"/>
        </w:tblCellMar>
      </w:tblPr>
      <w:tblGrid>
        <w:gridCol w:w="298"/>
        <w:gridCol w:w="262"/>
        <w:gridCol w:w="266"/>
        <w:gridCol w:w="109"/>
        <w:gridCol w:w="109"/>
        <w:gridCol w:w="109"/>
        <w:gridCol w:w="1509"/>
        <w:gridCol w:w="1509"/>
        <w:gridCol w:w="2141"/>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AOCI</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income/(loss)</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Accounting Standards Codification</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ASU</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Accounting Standards Update</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Bcf</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Billion cubic feet</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Btu</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British thermal unit</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Canadian dollar</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CODM</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Operating Decision Maker</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EBITDA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before interest, taxes, depreciation and amortization</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EPA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Environmental Protection Agency</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FASB</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Accounting Standards Board</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GAAP</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Generally accepted accounting principles in the United States</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ICE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Intercontinental Exchange</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ISDA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 Swaps and Derivatives Association</w:t>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9"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LTIP</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incentive plan</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Mcf</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Thousand cubic feet</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MMbls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Million barrels</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NGL</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liquids, including ethane, propane and butane</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NYMEX</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York Mercantile Exchange</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Securities and Exchange Commission</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Secured Overnight Financing Rate</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TWh</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Terawatt hour</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dollar</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WTI</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West Texas Intermediate</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Basis of Consolidation and Presentation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condensed consolidated interim financial statements and related notes thereto should be read in conjunction with our 2023 Annual Report on Form 10-K. The accompanying condensed consolidated financial statements include the accounts of PAGP and all of its wholly owned subsidiaries and those entities that it controls. Investments in entities over which we have significant influence but not control are accounted for by the equity method. We apply proportionate consolidation for pipelines and other assets in which we own undivided joint interests. The financial statements have been prepared in accordance with the instructions for interim reporting as set forth by the SEC. The condensed consolidated balance sheet data as of December 31, 2023 was derived from audited financial statements, but does not include all disclosures required by GAAP. The results of operations for the three months ended March 31, 2024 should not be taken as indicative of results to be expected for the entire year. All adjustments (consisting only of normal recurring adjustments) that in the opinion of management were necessary for a fair statement of the results for the interim periods have been reflected. All significant intercompany balances and transactions have been eliminated in consolidation.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judgment is required to evaluate whether PAGP controls an entity. Key areas of that evaluation include (i) determining whether an entity is a variable interest entity (“VIE”); (ii) determining whether PAGP is the primary beneficiary of a VIE, including evaluating which activities of the VIE most significantly impact its economic performance and the degree of power that PAGP and its related parties have over those activities through variable interests; and (iii) identifying events that require reconsideration of whether an entity is a VIE and continuously evaluating whether PAGP is a VIE’s primary beneficiary.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73bffeb5d0234a1a8b7cd8141a48185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determined that our subsidiaries, PAA and AAP, are VIEs and should be consolidated by PAGP because:</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The limited partners of PAA and AAP lack (i) substantive “kick-out rights” (i.e., the right to remove the general partner) based on a simple majority or lower vote and (ii) substantive participation rights and thus lack the ability to block actions of the general partner that most significantly impact the economic performance of PAA and AAP, respectively. </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AAP is the primary beneficiary of PAA because it has the power to direct the activities that most significantly impact PAA’s performance and the right to receive benefits, and obligation to absorb losses, that could be significant to PAA.</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PAGP is the primary beneficiary of AAP because it has the power to direct the activities that most significantly impact AAP’s performance and the right to receive benefits, and obligation to absorb losses, that could be significant to AAP.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With the exception of a deferred tax asset of $1.231 billion and $1.239 billion as of March 31, 2024 and December 31, 2023, respectively, substantially all assets and liabilities presented on PAGP’s Condensed Consolidated Balance Sheets are those of PAA. Only the assets of each respective VIE can be used to settle the obligations of that individual VIE, and the creditors of each/either of those VIEs do not have recourse against the general credit of PAGP. PAGP did not provide any financial support to PAA or AAP during the three months ended March 31, 2024 or the year ended December 31, 2023. See Note 16 to our Consolidated Financial Statements included in Part IV of our 2023 Annual Report on Form 10-K for information regarding the Omnibus Agreement entered into by the Plains Entities on November 15, 2016.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i/>
          <w:color w:val="000000"/>
          <w:sz w:val="20"/>
        </w:rPr>
        <w:t>Subsequent Events</w:t>
      </w:r>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Subsequent events have been evaluated through the financial statements issuance date and have been included in the following footnotes where applicable.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Recent Accounting Pronouncements and Disclosure Rules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Except as discussed in our 2023 Annual Report on Form 10-K, there have been no new accounting pronouncements that have become effective or have been issued during the three months ended March 31, 2024 that are of significance or potential significance to us.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March 2024, the SEC adopted final rules (“climate disclosure rules”) requiring registrants to disclose, among other things, information about material climate-related risks and their impact on a registrant’s strategy, business model and outlook; information about material direct and indirect greenhouse gas emissions (Scope 1 and Scope 2), which are subject to assurance requirements; and the financial statement effects of severe weather events and other natural conditions. Such disclosure requirements will begin phasing in for annual periods beginning in 2025. In April 2024, the SEC stayed the climate disclosure rules pending resolution of legal challenges. We are currently evaluating the climate disclosure rules to determine the impact on our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73bffeb5d0234a1a8b7cd8141a48185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2—Revenues and Accounts Receivable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disaggregate our revenues by segment and type of activity. See Note 3 to our Consolidated Financial Statements included in Part IV of our 2023 Annual Report on Form 10-K for additional information regarding our types of revenues and policies for revenue recognition.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 xml:space="preserve">Revenues from Contracts with Customers. </w:t>
      </w:r>
      <w:r>
        <w:rPr>
          <w:rFonts w:ascii="Times New Roman;sans-serif" w:hAnsi="Times New Roman;sans-serif"/>
          <w:b w:val="false"/>
          <w:color w:val="000000"/>
          <w:sz w:val="20"/>
        </w:rPr>
        <w:t>The following tables present our revenues from contracts with customers disaggregated by segment and type of activity (in millions):</w:t>
      </w:r>
    </w:p>
    <w:p>
      <w:pPr>
        <w:pStyle w:val="TextBody"/>
        <w:bidi w:val="0"/>
        <w:spacing w:before="0" w:after="0"/>
        <w:ind w:left="0" w:right="0" w:firstLine="720"/>
        <w:jc w:val="left"/>
        <w:rPr/>
      </w:pPr>
      <w:r>
        <w:rPr/>
      </w:r>
    </w:p>
    <w:tbl>
      <w:tblPr>
        <w:tblW w:w="8575" w:type="dxa"/>
        <w:jc w:val="left"/>
        <w:tblInd w:w="0" w:type="dxa"/>
        <w:tblLayout w:type="fixed"/>
        <w:tblCellMar>
          <w:top w:w="28" w:type="dxa"/>
          <w:left w:w="28" w:type="dxa"/>
          <w:bottom w:w="28" w:type="dxa"/>
          <w:right w:w="28" w:type="dxa"/>
        </w:tblCellMar>
      </w:tblPr>
      <w:tblGrid>
        <w:gridCol w:w="1931"/>
        <w:gridCol w:w="1701"/>
        <w:gridCol w:w="1707"/>
        <w:gridCol w:w="109"/>
        <w:gridCol w:w="109"/>
        <w:gridCol w:w="139"/>
        <w:gridCol w:w="139"/>
        <w:gridCol w:w="269"/>
        <w:gridCol w:w="919"/>
        <w:gridCol w:w="139"/>
        <w:gridCol w:w="109"/>
        <w:gridCol w:w="109"/>
        <w:gridCol w:w="109"/>
        <w:gridCol w:w="211"/>
        <w:gridCol w:w="721"/>
        <w:gridCol w:w="154"/>
      </w:tblGrid>
      <w:tr>
        <w:trPr/>
        <w:tc>
          <w:tcPr>
            <w:tcW w:w="1931"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17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5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Crude Oil segment revenues from contracts with customers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Transportation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Terminalling, Storage and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Crude Oil segment revenues from contracts with customers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11,577 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11,721 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7914" w:type="dxa"/>
        <w:jc w:val="left"/>
        <w:tblInd w:w="0" w:type="dxa"/>
        <w:tblLayout w:type="fixed"/>
        <w:tblCellMar>
          <w:top w:w="28" w:type="dxa"/>
          <w:left w:w="28" w:type="dxa"/>
          <w:bottom w:w="28" w:type="dxa"/>
          <w:right w:w="28" w:type="dxa"/>
        </w:tblCellMar>
      </w:tblPr>
      <w:tblGrid>
        <w:gridCol w:w="1785"/>
        <w:gridCol w:w="1572"/>
        <w:gridCol w:w="1577"/>
        <w:gridCol w:w="109"/>
        <w:gridCol w:w="109"/>
        <w:gridCol w:w="174"/>
        <w:gridCol w:w="174"/>
        <w:gridCol w:w="337"/>
        <w:gridCol w:w="745"/>
        <w:gridCol w:w="174"/>
        <w:gridCol w:w="109"/>
        <w:gridCol w:w="109"/>
        <w:gridCol w:w="109"/>
        <w:gridCol w:w="211"/>
        <w:gridCol w:w="466"/>
        <w:gridCol w:w="154"/>
      </w:tblGrid>
      <w:tr>
        <w:trPr/>
        <w:tc>
          <w:tcPr>
            <w:tcW w:w="1785"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158" w:type="dxa"/>
            <w:gridSpan w:val="6"/>
            <w:tcBorders/>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NGL segment revenues from contracts with customers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Transportation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Terminalling, Storage and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NGL segment revenues from contracts with customers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 xml:space="preserve">Reconciliation to Total Revenues of Reportable Segments. </w:t>
      </w:r>
      <w:r>
        <w:rPr>
          <w:rFonts w:ascii="Times New Roman;sans-serif" w:hAnsi="Times New Roman;sans-serif"/>
          <w:b w:val="false"/>
          <w:color w:val="000000"/>
          <w:sz w:val="20"/>
        </w:rPr>
        <w:t>The following disclosures only include information regarding revenues associated with consolidated entities; revenues from entities accounted for by the equity method are not included. The following tables present the reconciliation of our revenues from contracts with customers to total revenues of reportable segments and total revenues as disclosed in our Condensed Consolidated Statements of Operations (in millions):</w:t>
      </w:r>
    </w:p>
    <w:p>
      <w:pPr>
        <w:pStyle w:val="TextBody"/>
        <w:bidi w:val="0"/>
        <w:spacing w:before="0" w:after="0"/>
        <w:ind w:left="0" w:right="0" w:firstLine="720"/>
        <w:jc w:val="left"/>
        <w:rPr/>
      </w:pPr>
      <w:r>
        <w:rPr/>
      </w:r>
    </w:p>
    <w:tbl>
      <w:tblPr>
        <w:tblW w:w="7269" w:type="dxa"/>
        <w:jc w:val="center"/>
        <w:tblInd w:w="0" w:type="dxa"/>
        <w:tblLayout w:type="fixed"/>
        <w:tblCellMar>
          <w:top w:w="28" w:type="dxa"/>
          <w:left w:w="28" w:type="dxa"/>
          <w:bottom w:w="28" w:type="dxa"/>
          <w:right w:w="28" w:type="dxa"/>
        </w:tblCellMar>
      </w:tblPr>
      <w:tblGrid>
        <w:gridCol w:w="1220"/>
        <w:gridCol w:w="1073"/>
        <w:gridCol w:w="1082"/>
        <w:gridCol w:w="109"/>
        <w:gridCol w:w="109"/>
        <w:gridCol w:w="109"/>
        <w:gridCol w:w="211"/>
        <w:gridCol w:w="721"/>
        <w:gridCol w:w="109"/>
        <w:gridCol w:w="109"/>
        <w:gridCol w:w="109"/>
        <w:gridCol w:w="109"/>
        <w:gridCol w:w="211"/>
        <w:gridCol w:w="466"/>
        <w:gridCol w:w="109"/>
        <w:gridCol w:w="109"/>
        <w:gridCol w:w="109"/>
        <w:gridCol w:w="109"/>
        <w:gridCol w:w="211"/>
        <w:gridCol w:w="721"/>
        <w:gridCol w:w="154"/>
      </w:tblGrid>
      <w:tr>
        <w:trPr/>
        <w:tc>
          <w:tcPr>
            <w:tcW w:w="1220"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Three Months Ended 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Crude Oil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NGL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3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from contracts with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 of reportable segments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Intersegment revenues elimination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Three Months Ended 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Crude Oil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NGL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3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from contracts with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 of reportable segments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Intersegment revenues elimination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73bffeb5d0234a1a8b7cd8141a48185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 xml:space="preserve">Minimum Volume Commitments. </w:t>
      </w:r>
      <w:r>
        <w:rPr>
          <w:rFonts w:ascii="Times New Roman;sans-serif" w:hAnsi="Times New Roman;sans-serif"/>
          <w:b w:val="false"/>
          <w:color w:val="000000"/>
          <w:sz w:val="20"/>
        </w:rPr>
        <w:t>We have certain agreements that require counterparties to transport or throughput a minimum volume over an agreed upon period. The following table presents counterparty deficiencies associated with contracts with customers and buy/sell arrangements that include minimum volume commitments for which we had remaining performance obligations and the customers still had the ability to meet their obligations (in millions):</w:t>
      </w:r>
    </w:p>
    <w:p>
      <w:pPr>
        <w:pStyle w:val="TextBody"/>
        <w:bidi w:val="0"/>
        <w:spacing w:before="0" w:after="0"/>
        <w:ind w:left="0" w:right="0" w:firstLine="720"/>
        <w:jc w:val="left"/>
        <w:rPr/>
      </w:pPr>
      <w:r>
        <w:rPr/>
      </w:r>
    </w:p>
    <w:tbl>
      <w:tblPr>
        <w:tblW w:w="7564" w:type="dxa"/>
        <w:jc w:val="center"/>
        <w:tblInd w:w="0" w:type="dxa"/>
        <w:tblLayout w:type="fixed"/>
        <w:tblCellMar>
          <w:top w:w="28" w:type="dxa"/>
          <w:left w:w="28" w:type="dxa"/>
          <w:bottom w:w="28" w:type="dxa"/>
          <w:right w:w="28" w:type="dxa"/>
        </w:tblCellMar>
      </w:tblPr>
      <w:tblGrid>
        <w:gridCol w:w="728"/>
        <w:gridCol w:w="639"/>
        <w:gridCol w:w="642"/>
        <w:gridCol w:w="109"/>
        <w:gridCol w:w="109"/>
        <w:gridCol w:w="109"/>
        <w:gridCol w:w="859"/>
        <w:gridCol w:w="859"/>
        <w:gridCol w:w="861"/>
        <w:gridCol w:w="109"/>
        <w:gridCol w:w="109"/>
        <w:gridCol w:w="109"/>
        <w:gridCol w:w="265"/>
        <w:gridCol w:w="453"/>
        <w:gridCol w:w="137"/>
        <w:gridCol w:w="109"/>
        <w:gridCol w:w="109"/>
        <w:gridCol w:w="109"/>
        <w:gridCol w:w="331"/>
        <w:gridCol w:w="567"/>
        <w:gridCol w:w="242"/>
      </w:tblGrid>
      <w:tr>
        <w:trPr/>
        <w:tc>
          <w:tcPr>
            <w:tcW w:w="72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Counterparty Deficiencies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Financial Statement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20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Billed and collected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Contract Balances</w:t>
      </w:r>
      <w:r>
        <w:rPr>
          <w:rFonts w:ascii="Times New Roman;sans-serif" w:hAnsi="Times New Roman;sans-serif"/>
          <w:b w:val="false"/>
          <w:color w:val="000000"/>
          <w:sz w:val="20"/>
        </w:rPr>
        <w:t>. Our contract balances consist of amounts received associated with services or sales for which we have not yet completed the related performance obligation. The following table presents the changes in the liability balance associated with contracts with customers (in millions):</w:t>
      </w:r>
    </w:p>
    <w:p>
      <w:pPr>
        <w:pStyle w:val="TextBody"/>
        <w:bidi w:val="0"/>
        <w:spacing w:before="0" w:after="0"/>
        <w:ind w:left="0" w:right="0" w:firstLine="720"/>
        <w:jc w:val="left"/>
        <w:rPr/>
      </w:pPr>
      <w:r>
        <w:rPr/>
      </w:r>
    </w:p>
    <w:tbl>
      <w:tblPr>
        <w:tblW w:w="4586" w:type="dxa"/>
        <w:jc w:val="center"/>
        <w:tblInd w:w="0" w:type="dxa"/>
        <w:tblLayout w:type="fixed"/>
        <w:tblCellMar>
          <w:top w:w="28" w:type="dxa"/>
          <w:left w:w="28" w:type="dxa"/>
          <w:bottom w:w="28" w:type="dxa"/>
          <w:right w:w="28" w:type="dxa"/>
        </w:tblCellMar>
      </w:tblPr>
      <w:tblGrid>
        <w:gridCol w:w="977"/>
        <w:gridCol w:w="859"/>
        <w:gridCol w:w="864"/>
        <w:gridCol w:w="109"/>
        <w:gridCol w:w="109"/>
        <w:gridCol w:w="109"/>
        <w:gridCol w:w="395"/>
        <w:gridCol w:w="875"/>
        <w:gridCol w:w="289"/>
      </w:tblGrid>
      <w:tr>
        <w:trPr/>
        <w:tc>
          <w:tcPr>
            <w:tcW w:w="977"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Contract Liabilities</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recognized as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28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ind w:left="0" w:right="0" w:hanging="36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Remaining Performance Obligations</w:t>
      </w:r>
      <w:r>
        <w:rPr>
          <w:rFonts w:ascii="Times New Roman;sans-serif" w:hAnsi="Times New Roman;sans-serif"/>
          <w:b w:val="false"/>
          <w:color w:val="000000"/>
          <w:sz w:val="20"/>
        </w:rPr>
        <w:t>. The information below includes the amount of consideration allocated to partially and wholly unsatisfied remaining performance obligations under contracts that existed as of the end of the periods and the timing of revenue recognition of those remaining performance obligations. Certain contracts meet the requirements for the presentation as remaining performance obligations. These contracts include a fixed minimum level of service, typically a set volume of service, and do not contain any variability other than expected timing within a limited range. The following table presents the amount of consideration associated with remaining performance obligations for the population of contracts with external customers meeting the presentation requirements as of March 31, 2024 (in millions):</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1239"/>
        <w:gridCol w:w="972"/>
        <w:gridCol w:w="974"/>
        <w:gridCol w:w="290"/>
        <w:gridCol w:w="643"/>
        <w:gridCol w:w="151"/>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92"/>
        <w:gridCol w:w="646"/>
        <w:gridCol w:w="219"/>
      </w:tblGrid>
      <w:tr>
        <w:trPr/>
        <w:tc>
          <w:tcPr>
            <w:tcW w:w="123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Remainder of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2029 and Thereafter</w:t>
            </w:r>
          </w:p>
        </w:tc>
      </w:tr>
      <w:tr>
        <w:trPr/>
        <w:tc>
          <w:tcPr>
            <w:tcW w:w="31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Pipeline revenues supported by minimum volume commitments and capacity agreements </w:t>
            </w:r>
            <w:r>
              <w:rPr>
                <w:rFonts w:ascii="Times New Roman;sans-serif" w:hAnsi="Times New Roman;sans-serif"/>
                <w:b w:val="false"/>
                <w:color w:val="000000"/>
                <w:sz w:val="13"/>
              </w:rPr>
              <w:t>(1)</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Terminalling, storage and other agreement revenues</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 xml:space="preserve">Calculated as volumes committed under contracts multiplied by the current applicable tariff rate. </w:t>
      </w:r>
    </w:p>
    <w:p>
      <w:pPr>
        <w:pStyle w:val="TextBody"/>
        <w:bidi w:val="0"/>
        <w:spacing w:before="60" w:after="283"/>
        <w:ind w:left="0" w:right="0" w:hanging="360"/>
        <w:jc w:val="both"/>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presentation above does not include (i) expected revenues from legacy shippers not underpinned by minimum volume commitments, including pipelines where there are no or limited alternative pipeline transportation options, (ii) intersegment revenues and (iii) the amount of consideration associated with certain income generating contracts, which include a fixed minimum level of service, that are either not within the scope of ASC 606 or do not meet the requirements for presentation as remaining performance obligations. The following are examples of contracts that are not included in the table above because they are not within the scope of ASC 606 or do not meet the requirements for presentation:</w:t>
      </w:r>
    </w:p>
    <w:p>
      <w:pPr>
        <w:pStyle w:val="TextBody"/>
        <w:bidi w:val="0"/>
        <w:spacing w:before="0" w:after="0"/>
        <w:jc w:val="left"/>
        <w:rPr/>
      </w:pPr>
      <w:r>
        <w:rPr/>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 xml:space="preserve">Minimum volume commitments on certain of our joint venture pipeline systems; </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Acreage dedications;</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Buy/sell arrangements with future committed volumes;</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Short-term contracts and those with variable consideration, due to the election of practical expedients;</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 xml:space="preserve">Contracts within the scope of ASC Topic 842, </w:t>
      </w:r>
      <w:r>
        <w:rPr>
          <w:rFonts w:ascii="Times New Roman;sans-serif" w:hAnsi="Times New Roman;sans-serif"/>
          <w:b w:val="false"/>
          <w:i/>
          <w:color w:val="000000"/>
          <w:sz w:val="20"/>
        </w:rPr>
        <w:t>Leases</w:t>
      </w:r>
      <w:r>
        <w:rPr>
          <w:rFonts w:ascii="Times New Roman;sans-serif" w:hAnsi="Times New Roman;sans-serif"/>
          <w:b w:val="false"/>
          <w:color w:val="000000"/>
          <w:sz w:val="20"/>
        </w:rPr>
        <w:t>; and</w:t>
      </w:r>
    </w:p>
    <w:p>
      <w:pPr>
        <w:pStyle w:val="TextBody"/>
        <w:bidi w:val="0"/>
        <w:spacing w:lineRule="auto" w:line="288" w:before="0" w:after="0"/>
        <w:ind w:left="0" w:right="0" w:hanging="180"/>
        <w:jc w:val="left"/>
        <w:rPr/>
      </w:pPr>
      <w:r>
        <w:rPr>
          <w:color w:val="000000"/>
        </w:rPr>
        <w:t>•</w:t>
      </w:r>
      <w:r>
        <w:rPr>
          <w:rFonts w:ascii="Times New Roman;sans-serif" w:hAnsi="Times New Roman;sans-serif"/>
          <w:b w:val="false"/>
          <w:color w:val="000000"/>
          <w:sz w:val="20"/>
        </w:rPr>
        <w:t xml:space="preserve">Contracts within the scope of ASC Topic 815, </w:t>
      </w:r>
      <w:r>
        <w:rPr>
          <w:rFonts w:ascii="Times New Roman;sans-serif" w:hAnsi="Times New Roman;sans-serif"/>
          <w:b w:val="false"/>
          <w:i/>
          <w:color w:val="000000"/>
          <w:sz w:val="20"/>
        </w:rPr>
        <w:t>Derivatives and Hedging</w:t>
      </w:r>
      <w:r>
        <w:rPr>
          <w:rFonts w:ascii="Times New Roman;sans-serif" w:hAnsi="Times New Roman;sans-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73bffeb5d0234a1a8b7cd8141a48185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Trade Accounts Receivable and Other Receivables, Net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At March 31, 2024 and December 31, 2023, substantially all of our trade accounts receivable were less than 30 days past their invoice date. Our expected credit losses are immaterial. Although we consider our credit procedures to be adequate to mitigate any significant credit losses, the actual amount of current and future credit losses could vary significantly from estimated amounts.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is a reconciliation of trade accounts receivable from revenues from contracts with customers to total Trade accounts receivable and other receivables, net as presented on our Condensed Consolidated Balance Sheets (in millions): </w:t>
      </w:r>
    </w:p>
    <w:p>
      <w:pPr>
        <w:pStyle w:val="TextBody"/>
        <w:bidi w:val="0"/>
        <w:spacing w:before="0" w:after="0"/>
        <w:ind w:left="0" w:right="0" w:firstLine="720"/>
        <w:jc w:val="left"/>
        <w:rPr/>
      </w:pPr>
      <w:r>
        <w:rPr/>
      </w:r>
    </w:p>
    <w:tbl>
      <w:tblPr>
        <w:tblW w:w="8882" w:type="dxa"/>
        <w:jc w:val="center"/>
        <w:tblInd w:w="0" w:type="dxa"/>
        <w:tblLayout w:type="fixed"/>
        <w:tblCellMar>
          <w:top w:w="28" w:type="dxa"/>
          <w:left w:w="28" w:type="dxa"/>
          <w:bottom w:w="28" w:type="dxa"/>
          <w:right w:w="28" w:type="dxa"/>
        </w:tblCellMar>
      </w:tblPr>
      <w:tblGrid>
        <w:gridCol w:w="2348"/>
        <w:gridCol w:w="2057"/>
        <w:gridCol w:w="2074"/>
        <w:gridCol w:w="211"/>
        <w:gridCol w:w="616"/>
        <w:gridCol w:w="109"/>
        <w:gridCol w:w="109"/>
        <w:gridCol w:w="109"/>
        <w:gridCol w:w="109"/>
        <w:gridCol w:w="245"/>
        <w:gridCol w:w="716"/>
        <w:gridCol w:w="179"/>
      </w:tblGrid>
      <w:tr>
        <w:trPr/>
        <w:tc>
          <w:tcPr>
            <w:tcW w:w="2348" w:type="dxa"/>
            <w:tcBorders/>
            <w:vAlign w:val="center"/>
          </w:tcPr>
          <w:p>
            <w:pPr>
              <w:pStyle w:val="TableContents"/>
              <w:bidi w:val="0"/>
              <w:spacing w:before="0" w:after="283"/>
              <w:jc w:val="left"/>
              <w:rPr>
                <w:sz w:val="4"/>
                <w:szCs w:val="4"/>
              </w:rPr>
            </w:pPr>
            <w:r>
              <w:rPr>
                <w:sz w:val="4"/>
                <w:szCs w:val="4"/>
              </w:rPr>
            </w:r>
          </w:p>
        </w:tc>
        <w:tc>
          <w:tcPr>
            <w:tcW w:w="2057" w:type="dxa"/>
            <w:tcBorders/>
            <w:vAlign w:val="center"/>
          </w:tcPr>
          <w:p>
            <w:pPr>
              <w:pStyle w:val="TableContents"/>
              <w:bidi w:val="0"/>
              <w:spacing w:before="0" w:after="283"/>
              <w:jc w:val="left"/>
              <w:rPr>
                <w:sz w:val="4"/>
                <w:szCs w:val="4"/>
              </w:rPr>
            </w:pPr>
            <w:r>
              <w:rPr>
                <w:sz w:val="4"/>
                <w:szCs w:val="4"/>
              </w:rPr>
            </w:r>
          </w:p>
        </w:tc>
        <w:tc>
          <w:tcPr>
            <w:tcW w:w="20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Trade accounts receivable arising from revenues from contracts with customers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3,999 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trade accounts receivables and other receivables </w:t>
            </w:r>
            <w:r>
              <w:rPr>
                <w:rFonts w:ascii="Times New Roman;sans-serif" w:hAnsi="Times New Roman;sans-serif"/>
                <w:b w:val="false"/>
                <w:color w:val="000000"/>
                <w:sz w:val="13"/>
              </w:rPr>
              <w:t>(1)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due to contractual rights of offset with counterparties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(7,774)</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accounts receivable and other receivables,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3,760 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The balance is comprised primarily of accounts receivable associated with buy/sell arrangements that are not within the scope of ASC 606.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3—Net Income Per Class A Share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Basic net income per Class A share is determined by dividing net income attributable to PAGP by the weighted average number of Class A shares outstanding during the period. Our Class B and Class C shares do not share in the earnings of the Partnership; accordingly, basic and diluted net income per Class B and Class C share has not been presented.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Diluted net income per Class A share is determined by dividing net income attributable to PAGP by the diluted weighted average number of Class A shares outstanding during the period. For purposes of calculating diluted net income per Class A share, both the net income attributable to PAGP and the diluted weighted average number of Class A shares outstanding consider the impact of possible future exchanges of AAP units and the associated Class B shares into our Class A shares. In addition, the calculation of the diluted weighted average number of Class A shares outstanding considers the effect of potentially dilutive awards under the Plains GP Holdings, L.P. Long-Term Incentive Plan (the “PAGP LTIP”).</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Exchanges of potentially dilutive AAP units are assumed to have occurred at the beginning of the period and the incremental income attributable to PAGP resulting from the assumed exchanges is representative of the incremental income that would have been attributable to PAGP if the assumed exchanges occurred on that date. See Note 11 to our Consolidated Financial Statements included in Part IV of our 2023 Annual Report on Form 10-K for information regarding exchanges of AAP units. PAGP LTIP awards that are deemed to be dilutive are reduced by a hypothetical share repurchase based on the remaining unamortized fair value, as prescribed by the treasury stock method in guidance issued by the FASB. See Note 17 to our Consolidated Financial Statements included in Part IV of our 2023 Annual Report on Form 10-K for information regarding PAGP LTIP awards.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a weighted-average basis, for the three months ended March 31, 2024 and 2023, the possible exchange of 36 million and 47 million AAP units, respectively, would not have had a dilutive effect on basic net income per Class A share. For each of the three months ended March 31, 2024 and 2023, our PAGP LTIP awards were dilutive; however, this did not change the presentation of diluted weighted average Class A shares outstanding or diluted net income per Class A share.</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73bffeb5d0234a1a8b7cd8141a48185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computation of basic and diluted net income per Class A share (in millions, except per share data):</w:t>
      </w:r>
    </w:p>
    <w:p>
      <w:pPr>
        <w:pStyle w:val="TextBody"/>
        <w:bidi w:val="0"/>
        <w:spacing w:before="0" w:after="0"/>
        <w:ind w:left="0" w:right="0" w:firstLine="720"/>
        <w:jc w:val="left"/>
        <w:rPr/>
      </w:pPr>
      <w:r>
        <w:rPr/>
      </w:r>
    </w:p>
    <w:tbl>
      <w:tblPr>
        <w:tblW w:w="8258" w:type="dxa"/>
        <w:jc w:val="center"/>
        <w:tblInd w:w="0" w:type="dxa"/>
        <w:tblLayout w:type="fixed"/>
        <w:tblCellMar>
          <w:top w:w="28" w:type="dxa"/>
          <w:left w:w="28" w:type="dxa"/>
          <w:bottom w:w="28" w:type="dxa"/>
          <w:right w:w="28" w:type="dxa"/>
        </w:tblCellMar>
      </w:tblPr>
      <w:tblGrid>
        <w:gridCol w:w="1896"/>
        <w:gridCol w:w="1665"/>
        <w:gridCol w:w="1673"/>
        <w:gridCol w:w="109"/>
        <w:gridCol w:w="109"/>
        <w:gridCol w:w="166"/>
        <w:gridCol w:w="166"/>
        <w:gridCol w:w="323"/>
        <w:gridCol w:w="782"/>
        <w:gridCol w:w="166"/>
        <w:gridCol w:w="109"/>
        <w:gridCol w:w="109"/>
        <w:gridCol w:w="109"/>
        <w:gridCol w:w="211"/>
        <w:gridCol w:w="511"/>
        <w:gridCol w:w="154"/>
      </w:tblGrid>
      <w:tr>
        <w:trPr/>
        <w:tc>
          <w:tcPr>
            <w:tcW w:w="1896" w:type="dxa"/>
            <w:tcBorders/>
            <w:vAlign w:val="center"/>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203" w:type="dxa"/>
            <w:gridSpan w:val="6"/>
            <w:tcBorders/>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Basic and Diluted Net Income per Class A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PAGP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weighted average Class A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2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net income per Class A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0.21 </w:t>
            </w:r>
          </w:p>
        </w:tc>
        <w:tc>
          <w:tcPr>
            <w:tcW w:w="16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0.35 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4—Inventory, Linefill and Long-term Inventory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Inventory, linefill and long-term inventory consisted of the following (barrels in thousands and carrying value in millions):</w:t>
      </w:r>
    </w:p>
    <w:p>
      <w:pPr>
        <w:pStyle w:val="TextBody"/>
        <w:bidi w:val="0"/>
        <w:spacing w:before="0" w:after="0"/>
        <w:ind w:left="0" w:right="0" w:firstLine="720"/>
        <w:jc w:val="left"/>
        <w:rPr/>
      </w:pPr>
      <w:r>
        <w:rPr/>
      </w:r>
    </w:p>
    <w:tbl>
      <w:tblPr>
        <w:tblW w:w="10807" w:type="dxa"/>
        <w:jc w:val="center"/>
        <w:tblInd w:w="0" w:type="dxa"/>
        <w:tblLayout w:type="fixed"/>
        <w:tblCellMar>
          <w:top w:w="28" w:type="dxa"/>
          <w:left w:w="28" w:type="dxa"/>
          <w:bottom w:w="28" w:type="dxa"/>
          <w:right w:w="28" w:type="dxa"/>
        </w:tblCellMar>
      </w:tblPr>
      <w:tblGrid>
        <w:gridCol w:w="423"/>
        <w:gridCol w:w="306"/>
        <w:gridCol w:w="307"/>
        <w:gridCol w:w="360"/>
        <w:gridCol w:w="361"/>
        <w:gridCol w:w="241"/>
        <w:gridCol w:w="109"/>
        <w:gridCol w:w="109"/>
        <w:gridCol w:w="109"/>
        <w:gridCol w:w="240"/>
        <w:gridCol w:w="240"/>
        <w:gridCol w:w="241"/>
        <w:gridCol w:w="109"/>
        <w:gridCol w:w="109"/>
        <w:gridCol w:w="109"/>
        <w:gridCol w:w="211"/>
        <w:gridCol w:w="616"/>
        <w:gridCol w:w="109"/>
        <w:gridCol w:w="109"/>
        <w:gridCol w:w="109"/>
        <w:gridCol w:w="109"/>
        <w:gridCol w:w="211"/>
        <w:gridCol w:w="616"/>
        <w:gridCol w:w="109"/>
        <w:gridCol w:w="109"/>
        <w:gridCol w:w="109"/>
        <w:gridCol w:w="109"/>
        <w:gridCol w:w="109"/>
        <w:gridCol w:w="109"/>
        <w:gridCol w:w="109"/>
        <w:gridCol w:w="360"/>
        <w:gridCol w:w="361"/>
        <w:gridCol w:w="241"/>
        <w:gridCol w:w="109"/>
        <w:gridCol w:w="109"/>
        <w:gridCol w:w="109"/>
        <w:gridCol w:w="240"/>
        <w:gridCol w:w="240"/>
        <w:gridCol w:w="241"/>
        <w:gridCol w:w="109"/>
        <w:gridCol w:w="109"/>
        <w:gridCol w:w="109"/>
        <w:gridCol w:w="211"/>
        <w:gridCol w:w="616"/>
        <w:gridCol w:w="109"/>
        <w:gridCol w:w="109"/>
        <w:gridCol w:w="109"/>
        <w:gridCol w:w="109"/>
        <w:gridCol w:w="211"/>
        <w:gridCol w:w="616"/>
        <w:gridCol w:w="154"/>
      </w:tblGrid>
      <w:tr>
        <w:trPr/>
        <w:tc>
          <w:tcPr>
            <w:tcW w:w="423"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3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Volumes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Unit of</w:t>
              <w:br/>
              <w:t>Measure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Price/</w:t>
            </w:r>
          </w:p>
          <w:p>
            <w:pPr>
              <w:pStyle w:val="TableContents"/>
              <w:bidi w:val="0"/>
              <w:spacing w:lineRule="auto" w:line="240" w:before="0" w:after="0"/>
              <w:jc w:val="center"/>
              <w:rPr/>
            </w:pPr>
            <w:r>
              <w:rPr>
                <w:rFonts w:ascii="Times New Roman;sans-serif" w:hAnsi="Times New Roman;sans-serif"/>
                <w:b/>
                <w:color w:val="000000"/>
                <w:sz w:val="16"/>
              </w:rPr>
              <w:t>Unit </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Volumes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Unit of</w:t>
              <w:br/>
              <w:t>Measure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Price/</w:t>
            </w:r>
          </w:p>
          <w:p>
            <w:pPr>
              <w:pStyle w:val="TableContents"/>
              <w:bidi w:val="0"/>
              <w:spacing w:lineRule="auto" w:line="240" w:before="0" w:after="0"/>
              <w:jc w:val="center"/>
              <w:rPr/>
            </w:pPr>
            <w:r>
              <w:rPr>
                <w:rFonts w:ascii="Times New Roman;sans-serif" w:hAnsi="Times New Roman;sans-serif"/>
                <w:b/>
                <w:color w:val="000000"/>
                <w:sz w:val="16"/>
              </w:rPr>
              <w:t>Unit </w:t>
            </w:r>
            <w:r>
              <w:rPr>
                <w:rFonts w:ascii="Times New Roman;sans-serif" w:hAnsi="Times New Roman;sans-serif"/>
                <w:b/>
                <w:color w:val="000000"/>
                <w:sz w:val="10"/>
              </w:rPr>
              <w:t>(1)</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Inventory</w:t>
            </w:r>
          </w:p>
        </w:tc>
        <w:tc>
          <w:tcPr>
            <w:tcW w:w="9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Crude oil</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barrels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barrels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NGL</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barrels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barrels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subtotal</w:t>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Linefill</w:t>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Crude oil</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15,541 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barrels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15,409 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barrels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NGL</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barrels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barrels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Linefill subtotal</w:t>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Long-term inventory</w:t>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Crude oil</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barrels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barrels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NGL</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barrels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barrels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inventory subtotal</w:t>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1,733 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1,789 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Price per unit of measure is comprised of a weighted average associated with various grades, qualities and locations. Accordingly, these prices may not coincide with any published benchmarks for such products.</w:t>
      </w:r>
    </w:p>
    <w:p>
      <w:pPr>
        <w:pStyle w:val="TextBody"/>
        <w:bidi w:val="0"/>
        <w:spacing w:before="60" w:after="283"/>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73bffeb5d0234a1a8b7cd8141a48185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5—Debt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Debt consisted of the following (in millions):</w:t>
      </w:r>
    </w:p>
    <w:p>
      <w:pPr>
        <w:pStyle w:val="TextBody"/>
        <w:bidi w:val="0"/>
        <w:spacing w:before="0" w:after="0"/>
        <w:ind w:left="0" w:right="0" w:firstLine="720"/>
        <w:jc w:val="left"/>
        <w:rPr/>
      </w:pPr>
      <w:r>
        <w:rPr/>
      </w:r>
    </w:p>
    <w:tbl>
      <w:tblPr>
        <w:tblW w:w="10205" w:type="dxa"/>
        <w:jc w:val="center"/>
        <w:tblInd w:w="0" w:type="dxa"/>
        <w:tblLayout w:type="fixed"/>
        <w:tblCellMar>
          <w:top w:w="28" w:type="dxa"/>
          <w:left w:w="28" w:type="dxa"/>
          <w:bottom w:w="28" w:type="dxa"/>
          <w:right w:w="28" w:type="dxa"/>
        </w:tblCellMar>
      </w:tblPr>
      <w:tblGrid>
        <w:gridCol w:w="2831"/>
        <w:gridCol w:w="2491"/>
        <w:gridCol w:w="2495"/>
        <w:gridCol w:w="211"/>
        <w:gridCol w:w="616"/>
        <w:gridCol w:w="109"/>
        <w:gridCol w:w="109"/>
        <w:gridCol w:w="109"/>
        <w:gridCol w:w="109"/>
        <w:gridCol w:w="241"/>
        <w:gridCol w:w="705"/>
        <w:gridCol w:w="179"/>
      </w:tblGrid>
      <w:tr>
        <w:trPr/>
        <w:tc>
          <w:tcPr>
            <w:tcW w:w="2831" w:type="dxa"/>
            <w:tcBorders/>
            <w:vAlign w:val="center"/>
          </w:tcPr>
          <w:p>
            <w:pPr>
              <w:pStyle w:val="TableContents"/>
              <w:bidi w:val="0"/>
              <w:spacing w:before="0" w:after="283"/>
              <w:jc w:val="left"/>
              <w:rPr>
                <w:sz w:val="4"/>
                <w:szCs w:val="4"/>
              </w:rPr>
            </w:pPr>
            <w:r>
              <w:rPr>
                <w:sz w:val="4"/>
                <w:szCs w:val="4"/>
              </w:rPr>
            </w:r>
          </w:p>
        </w:tc>
        <w:tc>
          <w:tcPr>
            <w:tcW w:w="2491" w:type="dxa"/>
            <w:tcBorders/>
            <w:vAlign w:val="center"/>
          </w:tcPr>
          <w:p>
            <w:pPr>
              <w:pStyle w:val="TableContents"/>
              <w:bidi w:val="0"/>
              <w:spacing w:before="0" w:after="283"/>
              <w:jc w:val="left"/>
              <w:rPr>
                <w:sz w:val="4"/>
                <w:szCs w:val="4"/>
              </w:rPr>
            </w:pPr>
            <w:r>
              <w:rPr>
                <w:sz w:val="4"/>
                <w:szCs w:val="4"/>
              </w:rPr>
            </w:r>
          </w:p>
        </w:tc>
        <w:tc>
          <w:tcPr>
            <w:tcW w:w="24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7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7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SHORT-TERM DEBT</w:t>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817" w:type="dxa"/>
            <w:gridSpan w:val="3"/>
            <w:tcBorders/>
            <w:shd w:fill="FFFFFF" w:val="clear"/>
            <w:tcMar>
              <w:top w:w="0" w:type="dxa"/>
              <w:left w:w="0" w:type="dxa"/>
              <w:bottom w:w="0" w:type="dxa"/>
              <w:right w:w="0" w:type="dxa"/>
            </w:tcMar>
            <w:vAlign w:val="center"/>
          </w:tcPr>
          <w:p>
            <w:pPr>
              <w:pStyle w:val="TableContents"/>
              <w:bidi w:val="0"/>
              <w:spacing w:lineRule="auto" w:line="240" w:before="0" w:after="60"/>
              <w:ind w:left="0" w:right="0" w:hanging="180"/>
              <w:jc w:val="left"/>
              <w:rPr/>
            </w:pPr>
            <w:r>
              <w:rPr>
                <w:rFonts w:ascii="Times New Roman;sans-serif" w:hAnsi="Times New Roman;sans-serif"/>
                <w:b w:val="false"/>
                <w:color w:val="000000"/>
                <w:sz w:val="20"/>
              </w:rPr>
              <w:t xml:space="preserve">PAA commercial paper notes, bearing a weighted-average interest rate of 5.7% and 5.8%, respectively </w:t>
            </w:r>
            <w:r>
              <w:rPr>
                <w:rFonts w:ascii="Times New Roman;sans-serif" w:hAnsi="Times New Roman;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r>
      <w:tr>
        <w:trPr/>
        <w:tc>
          <w:tcPr>
            <w:tcW w:w="781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r>
      <w:tr>
        <w:trPr/>
        <w:tc>
          <w:tcPr>
            <w:tcW w:w="781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r>
      <w:tr>
        <w:trPr/>
        <w:tc>
          <w:tcPr>
            <w:tcW w:w="781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r>
      <w:tr>
        <w:trPr/>
        <w:tc>
          <w:tcPr>
            <w:tcW w:w="781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r>
      <w:tr>
        <w:trPr/>
        <w:tc>
          <w:tcPr>
            <w:tcW w:w="781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r>
      <w:tr>
        <w:trPr/>
        <w:tc>
          <w:tcPr>
            <w:tcW w:w="7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short-term debt</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LONG-TERM DEBT</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PAA senior notes, net of unamortized discounts and debt issuance costs of $39 and $41, respectively </w:t>
            </w:r>
            <w:r>
              <w:rPr>
                <w:rFonts w:ascii="Times New Roman;sans-serif" w:hAnsi="Times New Roman;sans-serif"/>
                <w:b w:val="false"/>
                <w:color w:val="000000"/>
                <w:sz w:val="13"/>
              </w:rPr>
              <w:t>(2)</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r>
      <w:tr>
        <w:trPr/>
        <w:tc>
          <w:tcPr>
            <w:tcW w:w="781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r>
      <w:tr>
        <w:trPr/>
        <w:tc>
          <w:tcPr>
            <w:tcW w:w="7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debt</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7,305 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585"/>
              <w:jc w:val="left"/>
              <w:rPr/>
            </w:pPr>
            <w:r>
              <w:rPr>
                <w:rFonts w:ascii="Times New Roman;sans-serif" w:hAnsi="Times New Roman;sans-serif"/>
                <w:b w:val="false"/>
                <w:color w:val="000000"/>
                <w:sz w:val="20"/>
              </w:rPr>
              <w:t xml:space="preserve">Total debt </w:t>
            </w:r>
            <w:r>
              <w:rPr>
                <w:rFonts w:ascii="Times New Roman;sans-serif" w:hAnsi="Times New Roman;sans-serif"/>
                <w:b w:val="false"/>
                <w:color w:val="000000"/>
                <w:sz w:val="13"/>
              </w:rPr>
              <w:t>(3)</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7,751 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We classified these PAA commercial paper notes as short-term as of March 31, 2024 and December 31, 2023, as these notes were primarily designated as working capital borrowings, were required to be repaid within one year and were primarily for hedged NGL and crude oil inventory and NYMEX and ICE margin deposits.</w:t>
      </w:r>
    </w:p>
    <w:p>
      <w:pPr>
        <w:pStyle w:val="TextBody"/>
        <w:bidi w:val="0"/>
        <w:spacing w:lineRule="auto" w:line="288" w:before="120" w:after="120"/>
        <w:ind w:left="0" w:right="0" w:hanging="72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As of March 31, 2024 and December 31, 2023, we classified PAA’s $750 million, 3.60% senior notes due November 2024 as long-term based on our ability and intent to refinance these notes on a long-term basis.</w:t>
      </w:r>
    </w:p>
    <w:p>
      <w:pPr>
        <w:pStyle w:val="TextBody"/>
        <w:bidi w:val="0"/>
        <w:spacing w:lineRule="auto" w:line="288" w:before="120" w:after="120"/>
        <w:ind w:left="0" w:right="0" w:hanging="720"/>
        <w:jc w:val="left"/>
        <w:rPr/>
      </w:pPr>
      <w:r>
        <w:rPr>
          <w:rFonts w:ascii="Times New Roman;sans-serif" w:hAnsi="Times New Roman;sans-serif"/>
          <w:b w:val="false"/>
          <w:color w:val="000000"/>
          <w:sz w:val="13"/>
        </w:rPr>
        <w:t>(3)</w:t>
      </w:r>
      <w:r>
        <w:rPr>
          <w:rFonts w:ascii="Times New Roman;sans-serif" w:hAnsi="Times New Roman;sans-serif"/>
          <w:b w:val="false"/>
          <w:color w:val="000000"/>
          <w:sz w:val="20"/>
        </w:rPr>
        <w:t xml:space="preserve">PAA’s fixed-rate senior notes had a face value of approximately $7.3 billion as of March 31, 2024 and December 31, 2023. We estimated the aggregate fair value of these notes as of March 31, 2024 and December 31, 2023 to be approximately $6.9 billion. PAA’s fixed-rate senior notes are traded among institutions, and these trades are routinely published by a reporting service. Our determination of fair value is based on reported trading activity near the end of the reporting period. We estimate that the carrying value of outstanding borrowings under PAA’s commercial paper program approximates fair value as interest rates reflect current market rates. The fair value estimates for PAA’s senior notes and commercial paper program are based upon observable market data and are classified in Level 2 of the fair value hierarchy.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Borrowings and Repayments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Total borrowings under the PAA credit facilities and commercial paper program for the three months ended March 31, 2024 and 2023 were approximately $9.1 billion and $1.5 billion, respectively. Total repayments under the PAA credit facilities and commercial paper program were approximately $9.0 billion and $1.5 billion for the three months ended March 31, 2024 and 2023, respectively. The variance in total gross borrowings and repayments is impacted by various business and financial factors including, but not limited to, the timing, average term and method of general partnership borrowing activities.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Letters of Credit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our merchant activities, we provide certain suppliers with irrevocable standby letters of credit to secure our obligation for the purchase and transportation of crude oil and NGL. Additionally, we issue letters of credit to support insurance programs, derivative transactions, including hedging-related margin obligations, and construction activities. At March 31, 2024 and December 31, 2023, we had outstanding letters of credit of $161 million and $205 million, respectively.</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73bffeb5d0234a1a8b7cd8141a48185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6—Partners’ Capital and Distributions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Shares Outstanding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the activity for our Class A shares, Class B shares and Class C shares:</w:t>
      </w:r>
    </w:p>
    <w:p>
      <w:pPr>
        <w:pStyle w:val="TextBody"/>
        <w:bidi w:val="0"/>
        <w:spacing w:before="0" w:after="0"/>
        <w:ind w:left="0" w:right="0" w:firstLine="720"/>
        <w:jc w:val="left"/>
        <w:rPr/>
      </w:pPr>
      <w:r>
        <w:rPr/>
      </w:r>
    </w:p>
    <w:tbl>
      <w:tblPr>
        <w:tblW w:w="8328" w:type="dxa"/>
        <w:jc w:val="center"/>
        <w:tblInd w:w="0" w:type="dxa"/>
        <w:tblLayout w:type="fixed"/>
        <w:tblCellMar>
          <w:top w:w="28" w:type="dxa"/>
          <w:left w:w="28" w:type="dxa"/>
          <w:bottom w:w="28" w:type="dxa"/>
          <w:right w:w="28" w:type="dxa"/>
        </w:tblCellMar>
      </w:tblPr>
      <w:tblGrid>
        <w:gridCol w:w="1065"/>
        <w:gridCol w:w="935"/>
        <w:gridCol w:w="940"/>
        <w:gridCol w:w="593"/>
        <w:gridCol w:w="593"/>
        <w:gridCol w:w="391"/>
        <w:gridCol w:w="109"/>
        <w:gridCol w:w="109"/>
        <w:gridCol w:w="109"/>
        <w:gridCol w:w="540"/>
        <w:gridCol w:w="541"/>
        <w:gridCol w:w="386"/>
        <w:gridCol w:w="109"/>
        <w:gridCol w:w="109"/>
        <w:gridCol w:w="109"/>
        <w:gridCol w:w="593"/>
        <w:gridCol w:w="593"/>
        <w:gridCol w:w="504"/>
      </w:tblGrid>
      <w:tr>
        <w:trPr/>
        <w:tc>
          <w:tcPr>
            <w:tcW w:w="106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B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C Shares</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2023</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196,416,760 </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36,237,168 </w:t>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539,445,289 </w:t>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0"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rFonts w:ascii="Times New Roman;sans-serif" w:hAnsi="Times New Roman;sans-serif"/>
                <w:b w:val="false"/>
                <w:color w:val="000000"/>
                <w:sz w:val="20"/>
              </w:rPr>
              <w:t xml:space="preserve">Exchange Right exercises </w:t>
            </w:r>
            <w:r>
              <w:rPr>
                <w:rFonts w:ascii="Times New Roman;sans-serif" w:hAnsi="Times New Roman;sans-serif"/>
                <w:b w:val="false"/>
                <w:color w:val="000000"/>
                <w:sz w:val="13"/>
              </w:rPr>
              <w:t>(1)</w:t>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835,499 </w:t>
            </w:r>
          </w:p>
        </w:tc>
        <w:tc>
          <w:tcPr>
            <w:tcW w:w="39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(835,499)</w:t>
            </w:r>
          </w:p>
        </w:tc>
        <w:tc>
          <w:tcPr>
            <w:tcW w:w="38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0"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0"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62,282 </w:t>
            </w:r>
          </w:p>
        </w:tc>
        <w:tc>
          <w:tcPr>
            <w:tcW w:w="5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March 31, 2024</w:t>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197,252,259 </w:t>
            </w:r>
          </w:p>
        </w:tc>
        <w:tc>
          <w:tcPr>
            <w:tcW w:w="3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35,401,669 </w:t>
            </w:r>
          </w:p>
        </w:tc>
        <w:tc>
          <w:tcPr>
            <w:tcW w:w="3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539,507,571 </w:t>
            </w:r>
          </w:p>
        </w:tc>
        <w:tc>
          <w:tcPr>
            <w:tcW w:w="5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0"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0"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0"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0"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0"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0"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0"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0"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0"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0"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0"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tbl>
      <w:tblPr>
        <w:tblW w:w="9078" w:type="dxa"/>
        <w:jc w:val="center"/>
        <w:tblInd w:w="0" w:type="dxa"/>
        <w:tblLayout w:type="fixed"/>
        <w:tblCellMar>
          <w:top w:w="28" w:type="dxa"/>
          <w:left w:w="28" w:type="dxa"/>
          <w:bottom w:w="28" w:type="dxa"/>
          <w:right w:w="28" w:type="dxa"/>
        </w:tblCellMar>
      </w:tblPr>
      <w:tblGrid>
        <w:gridCol w:w="1337"/>
        <w:gridCol w:w="1173"/>
        <w:gridCol w:w="1180"/>
        <w:gridCol w:w="593"/>
        <w:gridCol w:w="593"/>
        <w:gridCol w:w="391"/>
        <w:gridCol w:w="109"/>
        <w:gridCol w:w="109"/>
        <w:gridCol w:w="109"/>
        <w:gridCol w:w="540"/>
        <w:gridCol w:w="541"/>
        <w:gridCol w:w="386"/>
        <w:gridCol w:w="109"/>
        <w:gridCol w:w="109"/>
        <w:gridCol w:w="109"/>
        <w:gridCol w:w="593"/>
        <w:gridCol w:w="593"/>
        <w:gridCol w:w="504"/>
      </w:tblGrid>
      <w:tr>
        <w:trPr/>
        <w:tc>
          <w:tcPr>
            <w:tcW w:w="1337"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B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C Shares</w:t>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2022</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194,407,642 </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46,205,947 </w:t>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528,442,538 </w:t>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rFonts w:ascii="Times New Roman;sans-serif" w:hAnsi="Times New Roman;sans-serif"/>
                <w:b w:val="false"/>
                <w:color w:val="000000"/>
                <w:sz w:val="20"/>
              </w:rPr>
              <w:t xml:space="preserve">Conversion of AAP Management Units </w:t>
            </w:r>
            <w:r>
              <w:rPr>
                <w:rFonts w:ascii="Times New Roman;sans-serif" w:hAnsi="Times New Roman;sans-serif"/>
                <w:b w:val="false"/>
                <w:color w:val="000000"/>
                <w:sz w:val="13"/>
              </w:rPr>
              <w:t>(1) (2)</w:t>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388,839 </w:t>
            </w:r>
          </w:p>
        </w:tc>
        <w:tc>
          <w:tcPr>
            <w:tcW w:w="38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0"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rFonts w:ascii="Times New Roman;sans-serif" w:hAnsi="Times New Roman;sans-serif"/>
                <w:b w:val="false"/>
                <w:color w:val="000000"/>
                <w:sz w:val="20"/>
              </w:rPr>
              <w:t xml:space="preserve">Redemption Right exercises </w:t>
            </w:r>
            <w:r>
              <w:rPr>
                <w:rFonts w:ascii="Times New Roman;sans-serif" w:hAnsi="Times New Roman;sans-serif"/>
                <w:b w:val="false"/>
                <w:color w:val="000000"/>
                <w:sz w:val="13"/>
              </w:rPr>
              <w:t>(1)</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(181,916)</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181,916 </w:t>
            </w:r>
          </w:p>
        </w:tc>
        <w:tc>
          <w:tcPr>
            <w:tcW w:w="5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0"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35,508 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March 31, 2023</w:t>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194,407,642 </w:t>
            </w:r>
          </w:p>
        </w:tc>
        <w:tc>
          <w:tcPr>
            <w:tcW w:w="3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46,412,870 </w:t>
            </w:r>
          </w:p>
        </w:tc>
        <w:tc>
          <w:tcPr>
            <w:tcW w:w="3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528,659,962 </w:t>
            </w:r>
          </w:p>
        </w:tc>
        <w:tc>
          <w:tcPr>
            <w:tcW w:w="5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0"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0"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0"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0"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0"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0"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0"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0"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See Note 11 to our Consolidated Financial Statements included in Part IV of our 2023 Annual Report on Form 10-K for information regarding conversions of AAP Management Units, Exchange Rights and Redemption Rights.</w:t>
      </w:r>
    </w:p>
    <w:p>
      <w:pPr>
        <w:pStyle w:val="TextBody"/>
        <w:bidi w:val="0"/>
        <w:spacing w:lineRule="auto" w:line="288" w:before="60" w:after="283"/>
        <w:ind w:left="0" w:right="0" w:hanging="72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 xml:space="preserve">Following this conversion, no AAP Management Units remain outstanding. </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Distributions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distributions to our Class A shareholders paid during or pertaining to the first three months of 2024 (in millions, except per share data):</w:t>
      </w:r>
    </w:p>
    <w:p>
      <w:pPr>
        <w:pStyle w:val="TextBody"/>
        <w:bidi w:val="0"/>
        <w:spacing w:before="0" w:after="0"/>
        <w:ind w:left="0" w:right="0" w:firstLine="720"/>
        <w:jc w:val="left"/>
        <w:rPr/>
      </w:pPr>
      <w:r>
        <w:rPr/>
      </w:r>
    </w:p>
    <w:tbl>
      <w:tblPr>
        <w:tblW w:w="5726" w:type="dxa"/>
        <w:jc w:val="left"/>
        <w:tblInd w:w="0" w:type="dxa"/>
        <w:tblLayout w:type="fixed"/>
        <w:tblCellMar>
          <w:top w:w="28" w:type="dxa"/>
          <w:left w:w="28" w:type="dxa"/>
          <w:bottom w:w="28" w:type="dxa"/>
          <w:right w:w="28" w:type="dxa"/>
        </w:tblCellMar>
      </w:tblPr>
      <w:tblGrid>
        <w:gridCol w:w="750"/>
        <w:gridCol w:w="659"/>
        <w:gridCol w:w="661"/>
        <w:gridCol w:w="109"/>
        <w:gridCol w:w="109"/>
        <w:gridCol w:w="109"/>
        <w:gridCol w:w="506"/>
        <w:gridCol w:w="867"/>
        <w:gridCol w:w="263"/>
        <w:gridCol w:w="109"/>
        <w:gridCol w:w="109"/>
        <w:gridCol w:w="109"/>
        <w:gridCol w:w="265"/>
        <w:gridCol w:w="906"/>
        <w:gridCol w:w="195"/>
      </w:tblGrid>
      <w:tr>
        <w:trPr/>
        <w:tc>
          <w:tcPr>
            <w:tcW w:w="75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Distribution 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Distributions to</w:t>
              <w:br/>
              <w:t>Class A 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Distributions per</w:t>
              <w:br/>
              <w:t>Class A Share</w:t>
            </w:r>
          </w:p>
        </w:tc>
      </w:tr>
      <w:tr>
        <w:trPr/>
        <w:tc>
          <w:tcPr>
            <w:tcW w:w="2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r>
      <w:tr>
        <w:trPr/>
        <w:tc>
          <w:tcPr>
            <w:tcW w:w="2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May 15, 2024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0.3175 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14,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0.3175 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Payable to shareholders of record at the close of business on May 1, 2024 for the period from January 1, 2024 through March 31, 2024.</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Consolidated Subsidiaries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Noncontrolling Interests in Subsidiaries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2024, noncontrolling interests in our subsidiaries consisted of (i) limited partner interests in PAA including a 70% interest in PAA’s common units and PAA’s Series A preferred units combined and 100% of PAA’s Series B preferred units, (ii) an approximate 15% limited partner interest in AAP, (iii) a 35% interest in Plains Oryx Permian Basin LLC (the “Permian JV”), (iv) a 30% interest in Cactus II Pipeline LLC (“Cactus II”) and (v) a 33% interest in Red River Pipeline Company LLC (“Red River”).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73bffeb5d0234a1a8b7cd8141a48185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Subsidiary Distributions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PAA Series A Preferred Unit Distributions</w:t>
      </w:r>
      <w:r>
        <w:rPr>
          <w:rFonts w:ascii="Times New Roman;sans-serif" w:hAnsi="Times New Roman;sans-serif"/>
          <w:b w:val="false"/>
          <w:color w:val="000000"/>
          <w:sz w:val="20"/>
        </w:rPr>
        <w:t>. Distributions on PAA’s Series A preferred units accumulate and are payable quarterly within 45 days following the end of each quarter. See Note 11 to our Consolidated Financial Statements included in Part IV of our 2023 Annual Report on Form 10-K for additional information regarding PAA Series A preferred unit distributions. The following table details distributions to PAA’s Series A preferred unitholders paid during or pertaining to the first three months of 2024 (in millions, except per unit data):</w:t>
      </w:r>
    </w:p>
    <w:p>
      <w:pPr>
        <w:pStyle w:val="TextBody"/>
        <w:bidi w:val="0"/>
        <w:spacing w:before="0" w:after="0"/>
        <w:ind w:left="0" w:right="0" w:firstLine="720"/>
        <w:jc w:val="left"/>
        <w:rPr/>
      </w:pPr>
      <w:r>
        <w:rPr/>
      </w:r>
    </w:p>
    <w:tbl>
      <w:tblPr>
        <w:tblW w:w="6107" w:type="dxa"/>
        <w:jc w:val="center"/>
        <w:tblInd w:w="0" w:type="dxa"/>
        <w:tblLayout w:type="fixed"/>
        <w:tblCellMar>
          <w:top w:w="28" w:type="dxa"/>
          <w:left w:w="28" w:type="dxa"/>
          <w:bottom w:w="28" w:type="dxa"/>
          <w:right w:w="28" w:type="dxa"/>
        </w:tblCellMar>
      </w:tblPr>
      <w:tblGrid>
        <w:gridCol w:w="750"/>
        <w:gridCol w:w="659"/>
        <w:gridCol w:w="661"/>
        <w:gridCol w:w="109"/>
        <w:gridCol w:w="109"/>
        <w:gridCol w:w="109"/>
        <w:gridCol w:w="427"/>
        <w:gridCol w:w="731"/>
        <w:gridCol w:w="222"/>
        <w:gridCol w:w="111"/>
        <w:gridCol w:w="111"/>
        <w:gridCol w:w="111"/>
        <w:gridCol w:w="111"/>
        <w:gridCol w:w="111"/>
        <w:gridCol w:w="111"/>
        <w:gridCol w:w="357"/>
        <w:gridCol w:w="1045"/>
        <w:gridCol w:w="262"/>
      </w:tblGrid>
      <w:tr>
        <w:trPr/>
        <w:tc>
          <w:tcPr>
            <w:tcW w:w="75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0"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Series A Preferred Unitholders</w:t>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Distribution 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Cash Distribution</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Distribution per Unit</w:t>
            </w:r>
          </w:p>
        </w:tc>
      </w:tr>
      <w:tr>
        <w:trPr/>
        <w:tc>
          <w:tcPr>
            <w:tcW w:w="2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r>
      <w:tr>
        <w:trPr/>
        <w:tc>
          <w:tcPr>
            <w:tcW w:w="2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May 15, 2024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0.615 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14,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0.615 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shd w:fill="FFFFFF" w:val="clear"/>
        </w:rPr>
        <w:t>Payable to unitholders of record at the close of business on May 1, 2024 for the period from January 1, 2024 through March 31, 2024. At March 31, 2024, such amount was accrued as distributions payable in “Other current liabilities” on our Condensed Consolidated Balance Sheet.</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PAA</w:t>
      </w:r>
      <w:r>
        <w:rPr>
          <w:color w:val="000000"/>
        </w:rPr>
        <w:t xml:space="preserve"> </w:t>
      </w:r>
      <w:r>
        <w:rPr>
          <w:rFonts w:ascii="Times New Roman;sans-serif" w:hAnsi="Times New Roman;sans-serif"/>
          <w:b w:val="false"/>
          <w:i/>
          <w:color w:val="000000"/>
          <w:sz w:val="20"/>
        </w:rPr>
        <w:t>Series B Preferred Unit Distributions</w:t>
      </w:r>
      <w:r>
        <w:rPr>
          <w:rFonts w:ascii="Times New Roman;sans-serif" w:hAnsi="Times New Roman;sans-serif"/>
          <w:b w:val="false"/>
          <w:color w:val="000000"/>
          <w:sz w:val="20"/>
        </w:rPr>
        <w:t>. Distributions on PAA’s Series B preferred units accumulate and are payable quarterly in arrears on the 15th day of February, May, August and November. See Note 11 to our Consolidated Financial Statements included in Part IV of our 2023 Annual Report on Form 10-K for additional information regarding PAA Series B preferred unit distributions. The following table details distributions paid or to be paid to PAA’s Series B preferred unitholders (in millions, except per unit data):</w:t>
      </w:r>
    </w:p>
    <w:p>
      <w:pPr>
        <w:pStyle w:val="TextBody"/>
        <w:bidi w:val="0"/>
        <w:spacing w:before="0" w:after="0"/>
        <w:ind w:left="0" w:right="0" w:firstLine="720"/>
        <w:jc w:val="left"/>
        <w:rPr/>
      </w:pPr>
      <w:r>
        <w:rPr/>
      </w:r>
    </w:p>
    <w:tbl>
      <w:tblPr>
        <w:tblW w:w="6146" w:type="dxa"/>
        <w:jc w:val="center"/>
        <w:tblInd w:w="0" w:type="dxa"/>
        <w:tblLayout w:type="fixed"/>
        <w:tblCellMar>
          <w:top w:w="28" w:type="dxa"/>
          <w:left w:w="28" w:type="dxa"/>
          <w:bottom w:w="28" w:type="dxa"/>
          <w:right w:w="28" w:type="dxa"/>
        </w:tblCellMar>
      </w:tblPr>
      <w:tblGrid>
        <w:gridCol w:w="750"/>
        <w:gridCol w:w="659"/>
        <w:gridCol w:w="661"/>
        <w:gridCol w:w="109"/>
        <w:gridCol w:w="109"/>
        <w:gridCol w:w="109"/>
        <w:gridCol w:w="441"/>
        <w:gridCol w:w="755"/>
        <w:gridCol w:w="229"/>
        <w:gridCol w:w="110"/>
        <w:gridCol w:w="110"/>
        <w:gridCol w:w="110"/>
        <w:gridCol w:w="110"/>
        <w:gridCol w:w="110"/>
        <w:gridCol w:w="110"/>
        <w:gridCol w:w="357"/>
        <w:gridCol w:w="1045"/>
        <w:gridCol w:w="262"/>
      </w:tblGrid>
      <w:tr>
        <w:trPr/>
        <w:tc>
          <w:tcPr>
            <w:tcW w:w="75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Series B Preferred Unitholders</w:t>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Distribution 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Cash Distribution </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Distribution per Unit</w:t>
            </w:r>
          </w:p>
        </w:tc>
      </w:tr>
      <w:tr>
        <w:trPr/>
        <w:tc>
          <w:tcPr>
            <w:tcW w:w="2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r>
      <w:tr>
        <w:trPr/>
        <w:tc>
          <w:tcPr>
            <w:tcW w:w="2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May 15, 2024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24.20 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15,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24.92 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 xml:space="preserve">Payable to unitholders of record at the close of business on May 1, 2024 for the period from February 15, 2024 through May 14, 2024. At </w:t>
      </w:r>
      <w:r>
        <w:rPr>
          <w:rFonts w:ascii="Times New Roman;sans-serif" w:hAnsi="Times New Roman;sans-serif"/>
          <w:b w:val="false"/>
          <w:color w:val="000000"/>
          <w:sz w:val="20"/>
          <w:shd w:fill="FFFFFF" w:val="clear"/>
        </w:rPr>
        <w:t>March 31, 2024</w:t>
      </w:r>
      <w:r>
        <w:rPr>
          <w:rFonts w:ascii="Times New Roman;sans-serif" w:hAnsi="Times New Roman;sans-serif"/>
          <w:b w:val="false"/>
          <w:color w:val="000000"/>
          <w:sz w:val="20"/>
        </w:rPr>
        <w:t>, approximately $10 million of accrued distributions payable to PAA’s Series B preferred unitholders was included in “Other current liabilities” on our Condensed Consolidated Balance Sheet.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PAA Common Unit Distributions.</w:t>
      </w:r>
      <w:r>
        <w:rPr>
          <w:color w:val="000000"/>
        </w:rPr>
        <w:t xml:space="preserve"> </w:t>
      </w:r>
      <w:r>
        <w:rPr>
          <w:rFonts w:ascii="Times New Roman;sans-serif" w:hAnsi="Times New Roman;sans-serif"/>
          <w:b w:val="false"/>
          <w:color w:val="000000"/>
          <w:sz w:val="20"/>
        </w:rPr>
        <w:t>The following table details distributions to PAA’s common unitholders paid during or pertaining to the first three months of 2024 (in millions, except per unit data):</w:t>
      </w:r>
    </w:p>
    <w:p>
      <w:pPr>
        <w:pStyle w:val="TextBody"/>
        <w:bidi w:val="0"/>
        <w:spacing w:before="0" w:after="0"/>
        <w:ind w:left="0" w:right="0" w:firstLine="720"/>
        <w:jc w:val="left"/>
        <w:rPr/>
      </w:pPr>
      <w:r>
        <w:rPr/>
      </w:r>
    </w:p>
    <w:tbl>
      <w:tblPr>
        <w:tblW w:w="9357" w:type="dxa"/>
        <w:jc w:val="center"/>
        <w:tblInd w:w="0" w:type="dxa"/>
        <w:tblLayout w:type="fixed"/>
        <w:tblCellMar>
          <w:top w:w="28" w:type="dxa"/>
          <w:left w:w="28" w:type="dxa"/>
          <w:bottom w:w="28" w:type="dxa"/>
          <w:right w:w="28" w:type="dxa"/>
        </w:tblCellMar>
      </w:tblPr>
      <w:tblGrid>
        <w:gridCol w:w="750"/>
        <w:gridCol w:w="659"/>
        <w:gridCol w:w="661"/>
        <w:gridCol w:w="109"/>
        <w:gridCol w:w="109"/>
        <w:gridCol w:w="109"/>
        <w:gridCol w:w="211"/>
        <w:gridCol w:w="466"/>
        <w:gridCol w:w="109"/>
        <w:gridCol w:w="109"/>
        <w:gridCol w:w="109"/>
        <w:gridCol w:w="109"/>
        <w:gridCol w:w="211"/>
        <w:gridCol w:w="361"/>
        <w:gridCol w:w="109"/>
        <w:gridCol w:w="109"/>
        <w:gridCol w:w="109"/>
        <w:gridCol w:w="109"/>
        <w:gridCol w:w="487"/>
        <w:gridCol w:w="1075"/>
        <w:gridCol w:w="253"/>
        <w:gridCol w:w="109"/>
        <w:gridCol w:w="109"/>
        <w:gridCol w:w="109"/>
        <w:gridCol w:w="109"/>
        <w:gridCol w:w="109"/>
        <w:gridCol w:w="109"/>
        <w:gridCol w:w="460"/>
        <w:gridCol w:w="1574"/>
        <w:gridCol w:w="336"/>
      </w:tblGrid>
      <w:tr>
        <w:trPr/>
        <w:tc>
          <w:tcPr>
            <w:tcW w:w="75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Distributions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Distribution per Common Unit</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Unitholders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Cash Distribution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Distribution 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Public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70" w:type="dxa"/>
            <w:gridSpan w:val="3"/>
            <w:tcBorders/>
            <w:vAlign w:val="center"/>
          </w:tcPr>
          <w:p>
            <w:pPr>
              <w:pStyle w:val="TableContents"/>
              <w:bidi w:val="0"/>
              <w:spacing w:before="0" w:after="283"/>
              <w:jc w:val="left"/>
              <w:rPr>
                <w:sz w:val="4"/>
                <w:szCs w:val="4"/>
              </w:rPr>
            </w:pPr>
            <w:r>
              <w:rPr>
                <w:sz w:val="4"/>
                <w:szCs w:val="4"/>
              </w:rPr>
            </w:r>
          </w:p>
        </w:tc>
      </w:tr>
      <w:tr>
        <w:trPr/>
        <w:tc>
          <w:tcPr>
            <w:tcW w:w="2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70" w:type="dxa"/>
            <w:gridSpan w:val="3"/>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May 15, 2024</w:t>
            </w:r>
            <w:r>
              <w:rPr>
                <w:color w:val="000000"/>
              </w:rPr>
              <w:t xml:space="preserve">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0.3175 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14,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0.3175 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Payable to unitholders of record at the close of business on May 1, 2024 for the period from January 1, 2024 through March 31, 2024.</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73bffeb5d0234a1a8b7cd8141a48185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AAP Distributions.</w:t>
      </w:r>
      <w:r>
        <w:rPr>
          <w:color w:val="000000"/>
        </w:rPr>
        <w:t xml:space="preserve"> </w:t>
      </w:r>
      <w:r>
        <w:rPr>
          <w:rFonts w:ascii="Times New Roman;sans-serif" w:hAnsi="Times New Roman;sans-serif"/>
          <w:b w:val="false"/>
          <w:color w:val="000000"/>
          <w:sz w:val="20"/>
        </w:rPr>
        <w:t>The following table details the distributions to AAP’s partners paid during or pertaining to the first three months of 2024 from distributions received from PAA (in millions):</w:t>
      </w:r>
    </w:p>
    <w:p>
      <w:pPr>
        <w:pStyle w:val="TextBody"/>
        <w:bidi w:val="0"/>
        <w:spacing w:before="0" w:after="0"/>
        <w:ind w:left="0" w:right="0" w:firstLine="720"/>
        <w:jc w:val="left"/>
        <w:rPr/>
      </w:pPr>
      <w:r>
        <w:rPr/>
      </w:r>
    </w:p>
    <w:tbl>
      <w:tblPr>
        <w:tblW w:w="7452" w:type="dxa"/>
        <w:jc w:val="center"/>
        <w:tblInd w:w="0" w:type="dxa"/>
        <w:tblLayout w:type="fixed"/>
        <w:tblCellMar>
          <w:top w:w="28" w:type="dxa"/>
          <w:left w:w="28" w:type="dxa"/>
          <w:bottom w:w="28" w:type="dxa"/>
          <w:right w:w="28" w:type="dxa"/>
        </w:tblCellMar>
      </w:tblPr>
      <w:tblGrid>
        <w:gridCol w:w="750"/>
        <w:gridCol w:w="659"/>
        <w:gridCol w:w="661"/>
        <w:gridCol w:w="109"/>
        <w:gridCol w:w="109"/>
        <w:gridCol w:w="109"/>
        <w:gridCol w:w="576"/>
        <w:gridCol w:w="985"/>
        <w:gridCol w:w="299"/>
        <w:gridCol w:w="109"/>
        <w:gridCol w:w="109"/>
        <w:gridCol w:w="109"/>
        <w:gridCol w:w="211"/>
        <w:gridCol w:w="361"/>
        <w:gridCol w:w="109"/>
        <w:gridCol w:w="109"/>
        <w:gridCol w:w="109"/>
        <w:gridCol w:w="109"/>
        <w:gridCol w:w="539"/>
        <w:gridCol w:w="924"/>
        <w:gridCol w:w="397"/>
      </w:tblGrid>
      <w:tr>
        <w:trPr/>
        <w:tc>
          <w:tcPr>
            <w:tcW w:w="75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5" w:type="dxa"/>
            <w:gridSpan w:val="15"/>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Distributions to AAP</w:t>
            </w:r>
            <w:r>
              <w:rPr>
                <w:color w:val="000000"/>
              </w:rPr>
              <w:t>’</w:t>
            </w:r>
            <w:r>
              <w:rPr>
                <w:rFonts w:ascii="Times New Roman;sans-serif" w:hAnsi="Times New Roman;sans-serif"/>
                <w:b/>
                <w:color w:val="000000"/>
                <w:sz w:val="16"/>
              </w:rPr>
              <w:t>s Partners</w:t>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Distribution 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Cash Distribution</w:t>
            </w:r>
          </w:p>
        </w:tc>
      </w:tr>
      <w:tr>
        <w:trPr/>
        <w:tc>
          <w:tcPr>
            <w:tcW w:w="2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0" w:type="dxa"/>
            <w:gridSpan w:val="3"/>
            <w:tcBorders/>
            <w:vAlign w:val="center"/>
          </w:tcPr>
          <w:p>
            <w:pPr>
              <w:pStyle w:val="TableContents"/>
              <w:bidi w:val="0"/>
              <w:spacing w:before="0" w:after="283"/>
              <w:jc w:val="left"/>
              <w:rPr>
                <w:sz w:val="4"/>
                <w:szCs w:val="4"/>
              </w:rPr>
            </w:pPr>
            <w:r>
              <w:rPr>
                <w:sz w:val="4"/>
                <w:szCs w:val="4"/>
              </w:rPr>
            </w:r>
          </w:p>
        </w:tc>
      </w:tr>
      <w:tr>
        <w:trPr/>
        <w:tc>
          <w:tcPr>
            <w:tcW w:w="2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0" w:type="dxa"/>
            <w:gridSpan w:val="3"/>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May 15, 2024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14,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Payable to unitholders of record at the close of business on May 1, 2024 for the period from January 1, 2024 through March 31, 2024.</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 xml:space="preserve">Consolidated Joint Venture Distributions. </w:t>
      </w:r>
      <w:r>
        <w:rPr>
          <w:rFonts w:ascii="Times New Roman;sans-serif" w:hAnsi="Times New Roman;sans-serif"/>
          <w:b w:val="false"/>
          <w:color w:val="000000"/>
          <w:sz w:val="20"/>
        </w:rPr>
        <w:t>The following table details distributions paid to noncontrolling interests in consolidated joint ventures during the periods presented (in millions):</w:t>
      </w:r>
    </w:p>
    <w:p>
      <w:pPr>
        <w:pStyle w:val="TextBody"/>
        <w:bidi w:val="0"/>
        <w:spacing w:before="0" w:after="0"/>
        <w:jc w:val="left"/>
        <w:rPr/>
      </w:pPr>
      <w:r>
        <w:rPr/>
      </w:r>
    </w:p>
    <w:tbl>
      <w:tblPr>
        <w:tblW w:w="4127" w:type="dxa"/>
        <w:jc w:val="left"/>
        <w:tblInd w:w="0" w:type="dxa"/>
        <w:tblLayout w:type="fixed"/>
        <w:tblCellMar>
          <w:top w:w="28" w:type="dxa"/>
          <w:left w:w="28" w:type="dxa"/>
          <w:bottom w:w="28" w:type="dxa"/>
          <w:right w:w="28" w:type="dxa"/>
        </w:tblCellMar>
      </w:tblPr>
      <w:tblGrid>
        <w:gridCol w:w="375"/>
        <w:gridCol w:w="328"/>
        <w:gridCol w:w="331"/>
        <w:gridCol w:w="109"/>
        <w:gridCol w:w="109"/>
        <w:gridCol w:w="174"/>
        <w:gridCol w:w="174"/>
        <w:gridCol w:w="337"/>
        <w:gridCol w:w="745"/>
        <w:gridCol w:w="174"/>
        <w:gridCol w:w="109"/>
        <w:gridCol w:w="109"/>
        <w:gridCol w:w="109"/>
        <w:gridCol w:w="211"/>
        <w:gridCol w:w="361"/>
        <w:gridCol w:w="109"/>
        <w:gridCol w:w="109"/>
        <w:gridCol w:w="154"/>
      </w:tblGrid>
      <w:tr>
        <w:trPr/>
        <w:tc>
          <w:tcPr>
            <w:tcW w:w="375"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4" w:type="dxa"/>
            <w:gridSpan w:val="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Permian JV</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Cactus II</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 River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Note 7—Derivatives and Risk Management Activities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identify the risks that underlie our core business activities and use risk management strategies to mitigate those risks when we determine that there is value in doing so. We use various derivative instruments to optimize our profits while managing our exposure to commodity price risk and interest rate risk. Our commodity price risk management policies and procedures are designed to help ensure that our hedging activities address our risks by monitoring our derivative positions, as well as physical volumes, grades, locations, delivery schedules and storage capacity. Our interest rate risk management policies and procedures are designed to monitor our derivative positions and ensure that those positions are consistent with our objectives and approved strategies. Our policy is to use derivative instruments for risk management purposes and not for the purpose of speculating on changes in commodity prices or interest rates. When we apply hedge accounting, our policy is to formally document all relationships between hedging instruments and hedged items, as well as our risk management objectives for undertaking the hedge. This process includes specific identification of the hedging instrument and the hedged transaction, the nature of the risk being hedged and how the hedging instrument’s effectiveness will be assessed. At the inception of the hedging relationship, we assess whether the derivatives employed are highly effective in offsetting changes in cash flows of anticipated hedged transactions. Throughout the hedging relationship, retrospective and prospective hedge effectiveness is assessed on a qualitative basis.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record all open derivatives on the balance sheet as either assets or liabilities measured at fair value. Changes in the fair value of derivatives are recognized currently in earnings unless specific hedge accounting criteria are met. For derivatives designated as cash flow hedges, changes in fair value are deferred in AOCI and recognized in earnings in the periods during which the underlying hedged transactions are recognized in earnings. Derivatives that are not designated in a hedging relationship for accounting purposes are recognized in earnings each period. Cash settlements associated with our derivative activities are classified within the same category as the related hedged item in our Condensed Consolidated Statements of Cash Flows.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financial derivatives, used for hedging risk, are governed through ISDA master agreements and clearing brokerage agreements. These agreements include stipulations regarding the right of set off in the event that we or our counterparty default on performance obligations. If a default were to occur, both parties have the right to net amounts payable and receivable into a single net settlement between parties.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73bffeb5d0234a1a8b7cd8141a48185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lineRule="auto" w:line="288" w:before="0" w:after="0"/>
        <w:ind w:left="0" w:right="0" w:firstLine="675"/>
        <w:jc w:val="left"/>
        <w:rPr>
          <w:rFonts w:ascii="Times New Roman;sans-serif" w:hAnsi="Times New Roman;sans-serif"/>
          <w:b w:val="false"/>
          <w:color w:val="000000"/>
          <w:sz w:val="20"/>
        </w:rPr>
      </w:pPr>
      <w:r>
        <w:rPr>
          <w:rFonts w:ascii="Times New Roman;sans-serif" w:hAnsi="Times New Roman;sans-serif"/>
          <w:b w:val="false"/>
          <w:color w:val="000000"/>
          <w:sz w:val="20"/>
        </w:rPr>
        <w:t>At March 31, 2024 and December 31, 2023, none of our outstanding derivatives contained credit-risk related contingent features that would result in a material adverse impact to us upon any change in our credit ratings. Although we may be required to post margin on our exchange-traded derivatives transacted through a clearing brokerage account, as described below, we do not require our non-cleared derivative counterparties to post collateral with us.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Commodity Price Risk Hedging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core business activities involve certain commodity price-related risks that we manage in various ways, including through the use of derivative instruments. Our policy is to (i) only purchase inventory for which we have a sales market, (ii) structure our sales contracts so that price fluctuations do not materially affect our operating income and (iii) not acquire and hold material physical inventory or derivatives for the purpose of speculating on commodity price changes. The material commodity-related risks inherent in our business activities are described below.</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the normal course of our operations, we purchase and sell commodities. We use derivatives to manage the associated risks and to optimize profits. As of March 31, 2024, net derivative positions related to these activities included: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 net long position of 5.6 million barrels associated with our crude oil purchases, which was unwound ratably during April 2024 to match monthly average pricing.</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A net short time spread position of 4.8 million barrels, which hedges a portion of our anticipated crude oil lease gathering purchases through April 2025.</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A net crude oil basis spread position of 2.8 million barrels at multiple locations through November 2025. These derivatives allow us to lock in grade and location basis differentials.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A net short position of 13.4 million barrels through March 2026 related to anticipated net sales of crude oil and NGL inventory.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purchase natural gas for processing and operational needs. Additionally, we purchase NGL mix for fractionation and sell the resulting individual specification products (including ethane, propane, butane and condensate). In conjunction with these activities, we hedge the price risk associated with the purchase of the natural gas and the subsequent sale of the individual specification products. The following table summarizes our open derivative positions utilized to hedge the price risk associated with anticipated purchases and sales related to our natural gas processing and NGL fractionation activities as of March 31, 2024:</w:t>
      </w:r>
    </w:p>
    <w:p>
      <w:pPr>
        <w:pStyle w:val="TextBody"/>
        <w:bidi w:val="0"/>
        <w:spacing w:before="0" w:after="0"/>
        <w:ind w:left="0" w:right="0" w:firstLine="720"/>
        <w:jc w:val="left"/>
        <w:rPr/>
      </w:pPr>
      <w:r>
        <w:rPr/>
      </w:r>
    </w:p>
    <w:tbl>
      <w:tblPr>
        <w:tblW w:w="5931" w:type="dxa"/>
        <w:jc w:val="center"/>
        <w:tblInd w:w="0" w:type="dxa"/>
        <w:tblLayout w:type="fixed"/>
        <w:tblCellMar>
          <w:top w:w="28" w:type="dxa"/>
          <w:left w:w="28" w:type="dxa"/>
          <w:bottom w:w="28" w:type="dxa"/>
          <w:right w:w="28" w:type="dxa"/>
        </w:tblCellMar>
      </w:tblPr>
      <w:tblGrid>
        <w:gridCol w:w="913"/>
        <w:gridCol w:w="800"/>
        <w:gridCol w:w="806"/>
        <w:gridCol w:w="109"/>
        <w:gridCol w:w="109"/>
        <w:gridCol w:w="109"/>
        <w:gridCol w:w="444"/>
        <w:gridCol w:w="444"/>
        <w:gridCol w:w="446"/>
        <w:gridCol w:w="109"/>
        <w:gridCol w:w="109"/>
        <w:gridCol w:w="109"/>
        <w:gridCol w:w="416"/>
        <w:gridCol w:w="416"/>
        <w:gridCol w:w="592"/>
      </w:tblGrid>
      <w:tr>
        <w:trPr/>
        <w:tc>
          <w:tcPr>
            <w:tcW w:w="913"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Notional Volume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(Short)/Long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Remaining Tenor</w:t>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purchases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68.5 Bcf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June 2025</w:t>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Propane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(12.4) MMbls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June 2025</w:t>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Butane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 MMbls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December 2024</w:t>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Condensate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 MMbls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March 2025</w:t>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Fuel gas requirements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 Bcf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December 2025</w:t>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Power supply requirements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 TWh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2030</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Positions to hedge a portion of our power supply and fuel gas requirements at our Canadian natural gas processing and fractionation plants.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Physical commodity contracts that meet the definition of a derivative but are ineligible, or not designated, for the normal purchases and normal sales scope exception are recorded on the balance sheet at fair value, with changes in fair value recognized in earnings. We have determined that substantially all of our physical commodity contracts qualify for the normal purchases and normal sales scope exception.</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73bffeb5d0234a1a8b7cd8141a48185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commodity derivatives are not designated in a hedging relationship for accounting purposes; as such, changes in the fair value are reported in earnings. The following table summarizes the impact of our commodity derivatives recognized in earnings (in millions):</w:t>
      </w:r>
    </w:p>
    <w:p>
      <w:pPr>
        <w:pStyle w:val="TextBody"/>
        <w:bidi w:val="0"/>
        <w:spacing w:before="0" w:after="0"/>
        <w:ind w:left="0" w:right="0" w:firstLine="720"/>
        <w:jc w:val="left"/>
        <w:rPr/>
      </w:pPr>
      <w:r>
        <w:rPr/>
      </w:r>
    </w:p>
    <w:tbl>
      <w:tblPr>
        <w:tblW w:w="7376" w:type="dxa"/>
        <w:jc w:val="center"/>
        <w:tblInd w:w="0" w:type="dxa"/>
        <w:tblLayout w:type="fixed"/>
        <w:tblCellMar>
          <w:top w:w="28" w:type="dxa"/>
          <w:left w:w="28" w:type="dxa"/>
          <w:bottom w:w="28" w:type="dxa"/>
          <w:right w:w="28" w:type="dxa"/>
        </w:tblCellMar>
      </w:tblPr>
      <w:tblGrid>
        <w:gridCol w:w="1600"/>
        <w:gridCol w:w="1409"/>
        <w:gridCol w:w="1416"/>
        <w:gridCol w:w="109"/>
        <w:gridCol w:w="109"/>
        <w:gridCol w:w="162"/>
        <w:gridCol w:w="162"/>
        <w:gridCol w:w="314"/>
        <w:gridCol w:w="805"/>
        <w:gridCol w:w="162"/>
        <w:gridCol w:w="109"/>
        <w:gridCol w:w="109"/>
        <w:gridCol w:w="109"/>
        <w:gridCol w:w="211"/>
        <w:gridCol w:w="436"/>
        <w:gridCol w:w="154"/>
      </w:tblGrid>
      <w:tr>
        <w:trPr/>
        <w:tc>
          <w:tcPr>
            <w:tcW w:w="1600"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128" w:type="dxa"/>
            <w:gridSpan w:val="6"/>
            <w:tcBorders/>
          </w:tcPr>
          <w:p>
            <w:pPr>
              <w:pStyle w:val="TableContents"/>
              <w:bidi w:val="0"/>
              <w:spacing w:before="0" w:after="283"/>
              <w:jc w:val="left"/>
              <w:rPr>
                <w:sz w:val="4"/>
                <w:szCs w:val="4"/>
              </w:rPr>
            </w:pPr>
            <w:r>
              <w:rPr>
                <w:sz w:val="4"/>
                <w:szCs w:val="4"/>
              </w:rPr>
            </w:r>
          </w:p>
        </w:tc>
      </w:tr>
      <w:tr>
        <w:trPr/>
        <w:tc>
          <w:tcPr>
            <w:tcW w:w="44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Field operating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Net gain/(loss) from commodity derivative activity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accounting policy is to offset derivative assets and liabilities executed with the same counterparty when a master netting arrangement exists. Accordingly, we also offset derivative assets and liabilities with amounts associated with cash margin. Our exchange-traded derivatives are transacted through clearing brokerage accounts and are subject to margin requirements as established by the respective exchange. On a daily basis, our account equity (consisting of the sum of our cash balance and the fair value of our open derivatives) is compared to our initial margin requirement resulting in the payment or return of variation margin. The following table provides the components of our net broker receivable/(payable) (in millions):</w:t>
      </w:r>
    </w:p>
    <w:tbl>
      <w:tblPr>
        <w:tblW w:w="5259" w:type="dxa"/>
        <w:jc w:val="center"/>
        <w:tblInd w:w="0" w:type="dxa"/>
        <w:tblLayout w:type="fixed"/>
        <w:tblCellMar>
          <w:top w:w="28" w:type="dxa"/>
          <w:left w:w="28" w:type="dxa"/>
          <w:bottom w:w="28" w:type="dxa"/>
          <w:right w:w="28" w:type="dxa"/>
        </w:tblCellMar>
      </w:tblPr>
      <w:tblGrid>
        <w:gridCol w:w="1064"/>
        <w:gridCol w:w="935"/>
        <w:gridCol w:w="940"/>
        <w:gridCol w:w="229"/>
        <w:gridCol w:w="507"/>
        <w:gridCol w:w="118"/>
        <w:gridCol w:w="109"/>
        <w:gridCol w:w="109"/>
        <w:gridCol w:w="109"/>
        <w:gridCol w:w="324"/>
        <w:gridCol w:w="577"/>
        <w:gridCol w:w="238"/>
      </w:tblGrid>
      <w:tr>
        <w:trPr/>
        <w:tc>
          <w:tcPr>
            <w:tcW w:w="1064"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Initial margin</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6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Variation margin posted/(returned)</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Letters of credit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color w:val="000000"/>
              </w:rPr>
            </w:pPr>
            <w:r>
              <w:rPr>
                <w:color w:val="000000"/>
              </w:rPr>
              <w:t>   </w:t>
            </w:r>
            <w:r>
              <w:rPr>
                <w:rFonts w:ascii="Times New Roman;sans-serif" w:hAnsi="Times New Roman;sans-serif"/>
                <w:b w:val="false"/>
                <w:color w:val="000000"/>
                <w:sz w:val="20"/>
              </w:rPr>
              <w:t>Net broker receivable/(payable)</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reflects the Condensed Consolidated Balance Sheet line items that include the fair values of our commodity derivative assets and liabilities and the effect of the collateral netting. Such amounts are presented on a gross basis, before the effects of counterparty netting. However, we have elected to present our commodity derivative assets and liabilities with the same counterparty on a net basis on our Condensed Consolidated Balance Sheet when the legal right of offset exists. Amounts in the table below are presented in millions.</w:t>
      </w:r>
    </w:p>
    <w:p>
      <w:pPr>
        <w:pStyle w:val="TextBody"/>
        <w:bidi w:val="0"/>
        <w:spacing w:before="0" w:after="0"/>
        <w:ind w:left="0" w:right="0" w:firstLine="720"/>
        <w:jc w:val="left"/>
        <w:rPr/>
      </w:pPr>
      <w:r>
        <w:rPr/>
      </w:r>
    </w:p>
    <w:tbl>
      <w:tblPr>
        <w:tblW w:w="10402" w:type="dxa"/>
        <w:jc w:val="center"/>
        <w:tblInd w:w="0" w:type="dxa"/>
        <w:tblLayout w:type="fixed"/>
        <w:tblCellMar>
          <w:top w:w="28" w:type="dxa"/>
          <w:left w:w="28" w:type="dxa"/>
          <w:bottom w:w="28" w:type="dxa"/>
          <w:right w:w="28" w:type="dxa"/>
        </w:tblCellMar>
      </w:tblPr>
      <w:tblGrid>
        <w:gridCol w:w="370"/>
        <w:gridCol w:w="325"/>
        <w:gridCol w:w="326"/>
        <w:gridCol w:w="109"/>
        <w:gridCol w:w="109"/>
        <w:gridCol w:w="109"/>
        <w:gridCol w:w="211"/>
        <w:gridCol w:w="361"/>
        <w:gridCol w:w="109"/>
        <w:gridCol w:w="109"/>
        <w:gridCol w:w="109"/>
        <w:gridCol w:w="109"/>
        <w:gridCol w:w="211"/>
        <w:gridCol w:w="491"/>
        <w:gridCol w:w="109"/>
        <w:gridCol w:w="109"/>
        <w:gridCol w:w="109"/>
        <w:gridCol w:w="109"/>
        <w:gridCol w:w="225"/>
        <w:gridCol w:w="498"/>
        <w:gridCol w:w="118"/>
        <w:gridCol w:w="109"/>
        <w:gridCol w:w="109"/>
        <w:gridCol w:w="109"/>
        <w:gridCol w:w="251"/>
        <w:gridCol w:w="429"/>
        <w:gridCol w:w="131"/>
        <w:gridCol w:w="109"/>
        <w:gridCol w:w="109"/>
        <w:gridCol w:w="109"/>
        <w:gridCol w:w="109"/>
        <w:gridCol w:w="109"/>
        <w:gridCol w:w="109"/>
        <w:gridCol w:w="211"/>
        <w:gridCol w:w="466"/>
        <w:gridCol w:w="109"/>
        <w:gridCol w:w="109"/>
        <w:gridCol w:w="109"/>
        <w:gridCol w:w="109"/>
        <w:gridCol w:w="211"/>
        <w:gridCol w:w="491"/>
        <w:gridCol w:w="109"/>
        <w:gridCol w:w="109"/>
        <w:gridCol w:w="109"/>
        <w:gridCol w:w="109"/>
        <w:gridCol w:w="254"/>
        <w:gridCol w:w="454"/>
        <w:gridCol w:w="133"/>
        <w:gridCol w:w="109"/>
        <w:gridCol w:w="109"/>
        <w:gridCol w:w="109"/>
        <w:gridCol w:w="243"/>
        <w:gridCol w:w="434"/>
        <w:gridCol w:w="179"/>
      </w:tblGrid>
      <w:tr>
        <w:trPr/>
        <w:tc>
          <w:tcPr>
            <w:tcW w:w="37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Effect of Collateral Netting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Carrying Value Presented on the Balance Sheet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Effect of Collateral Netting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Carrying Value Presented on the Balance Sheet</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Commodity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Commodity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Derivative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Derivative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17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 and deferred credits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Interest Rate Risk Hedging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use interest rate derivatives to hedge the benchmark interest rate associated with interest payments occurring as a result of debt issuances. The derivative instruments we use to manage this risk consist of forward starting interest rate swaps and treasury locks. These derivatives are designated as cash flow hedges. As such, changes in fair value are deferred in AOCI and are reclassified to interest expense as we incur the interest expense associated with the underlying debt.</w:t>
      </w:r>
    </w:p>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73bffeb5d0234a1a8b7cd8141a48185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terms of our outstanding interest rate derivatives as of March 31, 2024 (notional amounts in millions):</w:t>
      </w:r>
    </w:p>
    <w:p>
      <w:pPr>
        <w:pStyle w:val="TextBody"/>
        <w:bidi w:val="0"/>
        <w:spacing w:before="0" w:after="0"/>
        <w:ind w:left="0" w:right="0" w:firstLine="720"/>
        <w:jc w:val="left"/>
        <w:rPr/>
      </w:pPr>
      <w:r>
        <w:rPr/>
      </w:r>
    </w:p>
    <w:tbl>
      <w:tblPr>
        <w:tblW w:w="10205" w:type="dxa"/>
        <w:jc w:val="center"/>
        <w:tblInd w:w="0" w:type="dxa"/>
        <w:tblLayout w:type="fixed"/>
        <w:tblCellMar>
          <w:top w:w="28" w:type="dxa"/>
          <w:left w:w="28" w:type="dxa"/>
          <w:bottom w:w="28" w:type="dxa"/>
          <w:right w:w="28" w:type="dxa"/>
        </w:tblCellMar>
      </w:tblPr>
      <w:tblGrid>
        <w:gridCol w:w="767"/>
        <w:gridCol w:w="675"/>
        <w:gridCol w:w="676"/>
        <w:gridCol w:w="109"/>
        <w:gridCol w:w="109"/>
        <w:gridCol w:w="109"/>
        <w:gridCol w:w="630"/>
        <w:gridCol w:w="630"/>
        <w:gridCol w:w="632"/>
        <w:gridCol w:w="109"/>
        <w:gridCol w:w="109"/>
        <w:gridCol w:w="109"/>
        <w:gridCol w:w="211"/>
        <w:gridCol w:w="466"/>
        <w:gridCol w:w="109"/>
        <w:gridCol w:w="109"/>
        <w:gridCol w:w="109"/>
        <w:gridCol w:w="109"/>
        <w:gridCol w:w="465"/>
        <w:gridCol w:w="465"/>
        <w:gridCol w:w="466"/>
        <w:gridCol w:w="109"/>
        <w:gridCol w:w="109"/>
        <w:gridCol w:w="109"/>
        <w:gridCol w:w="370"/>
        <w:gridCol w:w="370"/>
        <w:gridCol w:w="371"/>
        <w:gridCol w:w="109"/>
        <w:gridCol w:w="109"/>
        <w:gridCol w:w="109"/>
        <w:gridCol w:w="369"/>
        <w:gridCol w:w="369"/>
        <w:gridCol w:w="529"/>
      </w:tblGrid>
      <w:tr>
        <w:trPr/>
        <w:tc>
          <w:tcPr>
            <w:tcW w:w="767"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r>
      <w:tr>
        <w:trPr/>
        <w:tc>
          <w:tcPr>
            <w:tcW w:w="21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Hedged Transaction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and Types of</w:t>
              <w:br/>
              <w:t>Derivatives Employed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Notional</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Expected</w:t>
              <w:br/>
              <w:t>Termination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Rate</w:t>
              <w:br/>
              <w:t>Locked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Accounting</w:t>
              <w:br/>
              <w:t>Treatment</w:t>
            </w:r>
          </w:p>
        </w:tc>
      </w:tr>
      <w:tr>
        <w:trPr/>
        <w:tc>
          <w:tcPr>
            <w:tcW w:w="21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Anticipated interest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 forward starting swaps</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6/15/2026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Cash flow hedge</w:t>
            </w:r>
          </w:p>
        </w:tc>
      </w:tr>
      <w:tr>
        <w:trPr/>
        <w:tc>
          <w:tcPr>
            <w:tcW w:w="2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Anticipated interest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 forward starting swaps</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6/14/2024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Cash flow hedge</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2024, there was a net loss of $66 million deferred in AOCI. The deferred net loss recorded in AOCI is expected to be reclassified to future earnings contemporaneously with interest expense accruals associated with underlying debt instruments. We estimate that substantially all of the remaining deferred loss will be reclassified to earnings through 2056 as the underlying hedged transactions impact earnings. A portion of these amounts is based on market prices as of March 31, 2024; thus, actual amounts to be reclassified will differ and could vary materially as a result of changes in market conditions.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net unrealized gain/(loss) recognized in AOCI for derivatives (in millions):</w:t>
      </w:r>
    </w:p>
    <w:p>
      <w:pPr>
        <w:pStyle w:val="TextBody"/>
        <w:bidi w:val="0"/>
        <w:spacing w:before="0" w:after="0"/>
        <w:ind w:left="0" w:right="0" w:firstLine="720"/>
        <w:jc w:val="left"/>
        <w:rPr/>
      </w:pPr>
      <w:r>
        <w:rPr/>
      </w:r>
    </w:p>
    <w:tbl>
      <w:tblPr>
        <w:tblW w:w="5198" w:type="dxa"/>
        <w:jc w:val="center"/>
        <w:tblInd w:w="0" w:type="dxa"/>
        <w:tblLayout w:type="fixed"/>
        <w:tblCellMar>
          <w:top w:w="28" w:type="dxa"/>
          <w:left w:w="28" w:type="dxa"/>
          <w:bottom w:w="28" w:type="dxa"/>
          <w:right w:w="28" w:type="dxa"/>
        </w:tblCellMar>
      </w:tblPr>
      <w:tblGrid>
        <w:gridCol w:w="853"/>
        <w:gridCol w:w="749"/>
        <w:gridCol w:w="753"/>
        <w:gridCol w:w="109"/>
        <w:gridCol w:w="109"/>
        <w:gridCol w:w="194"/>
        <w:gridCol w:w="194"/>
        <w:gridCol w:w="376"/>
        <w:gridCol w:w="644"/>
        <w:gridCol w:w="194"/>
        <w:gridCol w:w="109"/>
        <w:gridCol w:w="109"/>
        <w:gridCol w:w="109"/>
        <w:gridCol w:w="211"/>
        <w:gridCol w:w="331"/>
        <w:gridCol w:w="154"/>
      </w:tblGrid>
      <w:tr>
        <w:trPr/>
        <w:tc>
          <w:tcPr>
            <w:tcW w:w="853"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2"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23" w:type="dxa"/>
            <w:gridSpan w:val="6"/>
            <w:tcBorders/>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derivatives,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At March 31, 2024, the net fair value of our interest rate hedges, which were included in “Other current assets” and “Other long-term assets, net” on our Condensed Consolidated Balance Sheet, totaled $55 million and $13 million, respectively. At December 31, 2023, the net fair value of these hedges totaled $51 million and $4 million, which were included in “Other current assets” and “Other long-term assets, net”, respectively.</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Recurring Fair Value Measurements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Derivative Financial Assets and Liabilities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by level within the fair value hierarchy our financial assets and liabilities that were accounted for at fair value on a recurring basis (in millions):</w:t>
      </w:r>
    </w:p>
    <w:p>
      <w:pPr>
        <w:pStyle w:val="TextBody"/>
        <w:bidi w:val="0"/>
        <w:spacing w:before="0" w:after="0"/>
        <w:ind w:left="0" w:right="0" w:firstLine="720"/>
        <w:jc w:val="left"/>
        <w:rPr/>
      </w:pPr>
      <w:r>
        <w:rPr/>
      </w:r>
    </w:p>
    <w:tbl>
      <w:tblPr>
        <w:tblW w:w="10205" w:type="dxa"/>
        <w:jc w:val="center"/>
        <w:tblInd w:w="0" w:type="dxa"/>
        <w:tblLayout w:type="fixed"/>
        <w:tblCellMar>
          <w:top w:w="28" w:type="dxa"/>
          <w:left w:w="28" w:type="dxa"/>
          <w:bottom w:w="28" w:type="dxa"/>
          <w:right w:w="28" w:type="dxa"/>
        </w:tblCellMar>
      </w:tblPr>
      <w:tblGrid>
        <w:gridCol w:w="1004"/>
        <w:gridCol w:w="882"/>
        <w:gridCol w:w="884"/>
        <w:gridCol w:w="109"/>
        <w:gridCol w:w="109"/>
        <w:gridCol w:w="109"/>
        <w:gridCol w:w="214"/>
        <w:gridCol w:w="412"/>
        <w:gridCol w:w="110"/>
        <w:gridCol w:w="110"/>
        <w:gridCol w:w="110"/>
        <w:gridCol w:w="110"/>
        <w:gridCol w:w="214"/>
        <w:gridCol w:w="519"/>
        <w:gridCol w:w="110"/>
        <w:gridCol w:w="110"/>
        <w:gridCol w:w="110"/>
        <w:gridCol w:w="110"/>
        <w:gridCol w:w="110"/>
        <w:gridCol w:w="109"/>
        <w:gridCol w:w="211"/>
        <w:gridCol w:w="509"/>
        <w:gridCol w:w="109"/>
        <w:gridCol w:w="119"/>
        <w:gridCol w:w="119"/>
        <w:gridCol w:w="119"/>
        <w:gridCol w:w="119"/>
        <w:gridCol w:w="119"/>
        <w:gridCol w:w="119"/>
        <w:gridCol w:w="256"/>
        <w:gridCol w:w="286"/>
        <w:gridCol w:w="119"/>
        <w:gridCol w:w="119"/>
        <w:gridCol w:w="119"/>
        <w:gridCol w:w="119"/>
        <w:gridCol w:w="232"/>
        <w:gridCol w:w="397"/>
        <w:gridCol w:w="119"/>
        <w:gridCol w:w="109"/>
        <w:gridCol w:w="109"/>
        <w:gridCol w:w="109"/>
        <w:gridCol w:w="109"/>
        <w:gridCol w:w="109"/>
        <w:gridCol w:w="211"/>
        <w:gridCol w:w="406"/>
        <w:gridCol w:w="179"/>
      </w:tblGrid>
      <w:tr>
        <w:trPr/>
        <w:tc>
          <w:tcPr>
            <w:tcW w:w="1004"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27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as of March 31, 2024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as of December 31, 2023</w:t>
            </w:r>
          </w:p>
        </w:tc>
        <w:tc>
          <w:tcPr>
            <w:tcW w:w="1341" w:type="dxa"/>
            <w:gridSpan w:val="8"/>
            <w:tcBorders/>
          </w:tcPr>
          <w:p>
            <w:pPr>
              <w:pStyle w:val="TableContents"/>
              <w:bidi w:val="0"/>
              <w:spacing w:before="0" w:after="283"/>
              <w:jc w:val="left"/>
              <w:rPr>
                <w:sz w:val="4"/>
                <w:szCs w:val="4"/>
              </w:rPr>
            </w:pPr>
            <w:r>
              <w:rPr>
                <w:sz w:val="4"/>
                <w:szCs w:val="4"/>
              </w:rPr>
            </w:r>
          </w:p>
        </w:tc>
      </w:tr>
      <w:tr>
        <w:trPr/>
        <w:tc>
          <w:tcPr>
            <w:tcW w:w="277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6"/>
              </w:rPr>
              <w:t>Recurring Fair Value Measures </w:t>
            </w:r>
            <w:r>
              <w:rPr>
                <w:rFonts w:ascii="Times New Roman;sans-serif" w:hAnsi="Times New Roman;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7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r>
      <w:tr>
        <w:trPr/>
        <w:tc>
          <w:tcPr>
            <w:tcW w:w="2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r>
      <w:tr>
        <w:trPr/>
        <w:tc>
          <w:tcPr>
            <w:tcW w:w="2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derivative asset/(liability)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Derivative assets and liabilities are presented above on a net basis but do not include related cash margin deposits.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Level 1</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Level 1 of the fair value hierarchy includes exchange-traded commodity derivatives and over-the-counter commodity contracts such as futures and swaps. The fair value of exchange-traded commodity derivatives and over-the-counter commodity contracts is based on unadjusted quoted prices in active markets.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Level 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Level 2 of the fair value hierarchy includes exchange-cleared commodity derivatives and over-the-counter commodity and interest rate derivatives that are traded in observable markets with less volume and transaction frequency than active markets. In addition, it includes certain physical commodity contracts. The fair values of these derivatives are corroborated with market observable inputs.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73bffeb5d0234a1a8b7cd8141a48185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Rollforward of Level 3 Net Asset/(Liability)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Preferred Distribution Rate Reset Option was accounted for as an embedded derivative that was bifurcated from the related host contract and recorded at fair value. The Preferred Distribution Rate Reset Option was settled in January 2023 when we received notice that the Series A preferred unitholders elected the Preferred Distribution Rate Reset Option, which resulted in a gain of $58 million recognized in “Other income/(expense), net” in our Condensed Consolidated Statement of Operations for the three months ended March 31, 2023. See Note 12 to our Consolidated Financial Statements included in Part IV of our 2023 Annual Report on Form 10-K for additional information regarding the Preferred Distribution Rate Reset Option.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changes in fair value of the beginning and ending balances for the Preferred Distribution Rate Reset Option embedded derivative, which was classified as Level 3 in the fair value hierarchy (in millions):</w:t>
      </w:r>
    </w:p>
    <w:tbl>
      <w:tblPr>
        <w:tblW w:w="10205" w:type="dxa"/>
        <w:jc w:val="left"/>
        <w:tblInd w:w="0" w:type="dxa"/>
        <w:tblLayout w:type="fixed"/>
        <w:tblCellMar>
          <w:top w:w="28" w:type="dxa"/>
          <w:left w:w="28" w:type="dxa"/>
          <w:bottom w:w="28" w:type="dxa"/>
          <w:right w:w="28" w:type="dxa"/>
        </w:tblCellMar>
      </w:tblPr>
      <w:tblGrid>
        <w:gridCol w:w="2592"/>
        <w:gridCol w:w="2254"/>
        <w:gridCol w:w="2267"/>
        <w:gridCol w:w="109"/>
        <w:gridCol w:w="109"/>
        <w:gridCol w:w="109"/>
        <w:gridCol w:w="109"/>
        <w:gridCol w:w="109"/>
        <w:gridCol w:w="109"/>
        <w:gridCol w:w="109"/>
        <w:gridCol w:w="109"/>
        <w:gridCol w:w="520"/>
        <w:gridCol w:w="1318"/>
        <w:gridCol w:w="382"/>
      </w:tblGrid>
      <w:tr>
        <w:trPr/>
        <w:tc>
          <w:tcPr>
            <w:tcW w:w="2592" w:type="dxa"/>
            <w:tcBorders/>
            <w:vAlign w:val="center"/>
          </w:tcPr>
          <w:p>
            <w:pPr>
              <w:pStyle w:val="TableContents"/>
              <w:bidi w:val="0"/>
              <w:spacing w:before="0" w:after="283"/>
              <w:jc w:val="left"/>
              <w:rPr>
                <w:sz w:val="4"/>
                <w:szCs w:val="4"/>
              </w:rPr>
            </w:pPr>
            <w:r>
              <w:rPr>
                <w:sz w:val="4"/>
                <w:szCs w:val="4"/>
              </w:rPr>
            </w:r>
          </w:p>
        </w:tc>
        <w:tc>
          <w:tcPr>
            <w:tcW w:w="2254" w:type="dxa"/>
            <w:tcBorders/>
            <w:vAlign w:val="center"/>
          </w:tcPr>
          <w:p>
            <w:pPr>
              <w:pStyle w:val="TableContents"/>
              <w:bidi w:val="0"/>
              <w:spacing w:before="0" w:after="283"/>
              <w:jc w:val="left"/>
              <w:rPr>
                <w:sz w:val="4"/>
                <w:szCs w:val="4"/>
              </w:rPr>
            </w:pPr>
            <w:r>
              <w:rPr>
                <w:sz w:val="4"/>
                <w:szCs w:val="4"/>
              </w:rPr>
            </w:r>
          </w:p>
        </w:tc>
        <w:tc>
          <w:tcPr>
            <w:tcW w:w="2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r>
      <w:tr>
        <w:trPr/>
        <w:tc>
          <w:tcPr>
            <w:tcW w:w="7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2023</w:t>
            </w:r>
          </w:p>
        </w:tc>
      </w:tr>
      <w:tr>
        <w:trPr/>
        <w:tc>
          <w:tcPr>
            <w:tcW w:w="71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r>
      <w:tr>
        <w:trPr/>
        <w:tc>
          <w:tcPr>
            <w:tcW w:w="71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gains/(losses) for the period included in earnings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r>
      <w:tr>
        <w:trPr/>
        <w:tc>
          <w:tcPr>
            <w:tcW w:w="71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unrealized gains/(losses) included in earnings relating to Level 3 derivatives still held at the end of the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8—Related Party Transactions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See Note 16 to our Consolidated Financial Statements included in Part IV of our 2023 Annual Report on Form 10-K for a complete discussion of related parties, including the determination of our related parties and nature of involvement with such related parties.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2024 and 2023, we recognized sales and transportation revenues, purchased petroleum products and utilized transportation and storage services from related parties. These transactions were conducted at posted tariff rates or prices that we believe approximate market.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impact to our Condensed Consolidated Statements of Operations from these transactions is included below (in millions):</w:t>
      </w:r>
    </w:p>
    <w:tbl>
      <w:tblPr>
        <w:tblW w:w="6787" w:type="dxa"/>
        <w:jc w:val="center"/>
        <w:tblInd w:w="0" w:type="dxa"/>
        <w:tblLayout w:type="fixed"/>
        <w:tblCellMar>
          <w:top w:w="28" w:type="dxa"/>
          <w:left w:w="28" w:type="dxa"/>
          <w:bottom w:w="28" w:type="dxa"/>
          <w:right w:w="28" w:type="dxa"/>
        </w:tblCellMar>
      </w:tblPr>
      <w:tblGrid>
        <w:gridCol w:w="1419"/>
        <w:gridCol w:w="1243"/>
        <w:gridCol w:w="1252"/>
        <w:gridCol w:w="109"/>
        <w:gridCol w:w="109"/>
        <w:gridCol w:w="194"/>
        <w:gridCol w:w="194"/>
        <w:gridCol w:w="376"/>
        <w:gridCol w:w="644"/>
        <w:gridCol w:w="194"/>
        <w:gridCol w:w="109"/>
        <w:gridCol w:w="109"/>
        <w:gridCol w:w="109"/>
        <w:gridCol w:w="211"/>
        <w:gridCol w:w="361"/>
        <w:gridCol w:w="154"/>
      </w:tblGrid>
      <w:tr>
        <w:trPr/>
        <w:tc>
          <w:tcPr>
            <w:tcW w:w="1419"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2"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53" w:type="dxa"/>
            <w:gridSpan w:val="6"/>
            <w:tcBorders/>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from related parties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and related costs from related parties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receivable and payable amounts with these related parties as reflected on our Condensed Consolidated Balance Sheets were as follows (in millions):</w:t>
      </w:r>
    </w:p>
    <w:p>
      <w:pPr>
        <w:pStyle w:val="TextBody"/>
        <w:bidi w:val="0"/>
        <w:spacing w:before="0" w:after="0"/>
        <w:ind w:left="0" w:right="0" w:firstLine="720"/>
        <w:jc w:val="left"/>
        <w:rPr/>
      </w:pPr>
      <w:r>
        <w:rPr/>
      </w:r>
    </w:p>
    <w:tbl>
      <w:tblPr>
        <w:tblW w:w="8487" w:type="dxa"/>
        <w:jc w:val="center"/>
        <w:tblInd w:w="0" w:type="dxa"/>
        <w:tblLayout w:type="fixed"/>
        <w:tblCellMar>
          <w:top w:w="28" w:type="dxa"/>
          <w:left w:w="28" w:type="dxa"/>
          <w:bottom w:w="28" w:type="dxa"/>
          <w:right w:w="28" w:type="dxa"/>
        </w:tblCellMar>
      </w:tblPr>
      <w:tblGrid>
        <w:gridCol w:w="2230"/>
        <w:gridCol w:w="1962"/>
        <w:gridCol w:w="1973"/>
        <w:gridCol w:w="265"/>
        <w:gridCol w:w="453"/>
        <w:gridCol w:w="137"/>
        <w:gridCol w:w="109"/>
        <w:gridCol w:w="109"/>
        <w:gridCol w:w="109"/>
        <w:gridCol w:w="331"/>
        <w:gridCol w:w="567"/>
        <w:gridCol w:w="242"/>
      </w:tblGrid>
      <w:tr>
        <w:trPr/>
        <w:tc>
          <w:tcPr>
            <w:tcW w:w="2230" w:type="dxa"/>
            <w:tcBorders/>
            <w:vAlign w:val="center"/>
          </w:tcPr>
          <w:p>
            <w:pPr>
              <w:pStyle w:val="TableContents"/>
              <w:bidi w:val="0"/>
              <w:spacing w:before="0" w:after="283"/>
              <w:jc w:val="left"/>
              <w:rPr>
                <w:sz w:val="4"/>
                <w:szCs w:val="4"/>
              </w:rPr>
            </w:pPr>
            <w:r>
              <w:rPr>
                <w:sz w:val="4"/>
                <w:szCs w:val="4"/>
              </w:rPr>
            </w:r>
          </w:p>
        </w:tc>
        <w:tc>
          <w:tcPr>
            <w:tcW w:w="1962"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Trade accounts receivable and other receivables, net from related parties </w:t>
            </w:r>
            <w:r>
              <w:rPr>
                <w:rFonts w:ascii="Times New Roman;sans-serif" w:hAnsi="Times New Roman;sans-serif"/>
                <w:b w:val="false"/>
                <w:color w:val="000000"/>
                <w:sz w:val="13"/>
              </w:rPr>
              <w:t>(1)</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Trade accounts payable to related parties </w:t>
            </w:r>
            <w:r>
              <w:rPr>
                <w:rFonts w:ascii="Times New Roman;sans-serif" w:hAnsi="Times New Roman;sans-serif"/>
                <w:b w:val="false"/>
                <w:color w:val="000000"/>
                <w:sz w:val="13"/>
              </w:rPr>
              <w:t>(1) (2)</w:t>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Includes amounts related to transportation and storage services and amounts owed to us or advanced to us related to investment capital projects of equity method investees where we serve as construction manager.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73bffeb5d0234a1a8b7cd8141a48185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lineRule="auto" w:line="288" w:before="60" w:after="283"/>
        <w:ind w:left="0" w:right="0" w:hanging="72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We have agreements to store crude oil at facilities and transport crude oil or utilize capacity on pipelines that are owned by equity method investees. A portion of our commitment to transport is supported by crude oil buy/sell or other agreements with third parties with commensurate quantities.</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Note 9—Commitments and Contingencies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Loss Contingencies — General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To the extent we are able to assess the likelihood of a negative outcome for a contingency, our assessments of such likelihood range from remote to probable. If we determine that a negative outcome is probable and the amount of loss is reasonably estimable, we accrue an undiscounted liability equal to the estimated amount. If a range of probable loss amounts can be reasonably estimated and no amount within the range is a better estimate than any other amount, then we accrue an undiscounted liability equal to the minimum amount in the range. In addition, we estimate legal fees that we expect to incur associated with loss contingencies and accrue those costs when they are material and probable of being incurred.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do not record a contingent liability when the likelihood of loss is probable but the amount cannot be reasonably estimated or when the likelihood of loss is believed to be only reasonably possible or remote. For contingencies where an unfavorable outcome is reasonably possible and the impact would be material to our consolidated financial statements, we disclose the nature of the contingency and, where feasible, an estimate of the possible loss or range of loss.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Legal Proceedings — General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ordinary course of business, we are involved in various legal proceedings, including those arising from regulatory and environmental matters. In connection with determining the probability of loss associated with such legal proceedings and whether any potential losses associated therewith are estimable, we take into account what we believe to be all relevant known facts and circumstances, and what we believe to be reasonable assumptions regarding the application of those facts and circumstances to existing agreements, laws and regulations. Although we are insured against various risks to the extent we believe it is prudent, there is no assurance that the nature and amount of such insurance will be adequate, in every case, to fully protect us from losses arising from current or future legal proceedings. Accordingly, we can provide no assurance that the outcome of the various legal proceedings that we are currently involved in, or will become involved with in the future, will not, individually or in the aggregate, have a material adverse effect on our consolidated financial condition, results of operations or cash flows.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Environmental — General</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currently own or lease, and in the past have owned and leased, properties where hazardous liquids, including hydrocarbons, are or have been handled. These properties and the hazardous liquids or associated wastes disposed thereon may be subject to the U.S. federal Comprehensive Environmental Response, Compensation and Liability Act, as amended, and the U.S. federal Resource Conservation and Recovery Act, as amended, as well as state and Canadian federal and provincial laws and regulations. Under such laws and regulations, we could be required to remove or remediate hazardous liquids or associated wastes (including wastes disposed of or released by prior owners or operators) and to clean up contaminated property (including contaminated groundwater). Assets we have acquired or will acquire in the future may have environmental remediation liabilities for which we are not indemnified or insured.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Although we have made significant investments in our maintenance and integrity programs, we have experienced (and likely will experience future) releases of hydrocarbon products into the environment from our pipeline, rail, storage and other facility operations. These releases can result from accidents or from unpredictable man-made or natural forces and may reach surface water bodies, groundwater aquifers or other sensitive environments. We also may discover environmental impacts from past releases that were previously unidentified. Damages and liabilities associated with any such releases from our existing or future assets could be significant and could have a material adverse effect on our consolidated financial condition, results of operations or cash flows.</w:t>
      </w:r>
    </w:p>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73bffeb5d0234a1a8b7cd8141a48185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record environmental liabilities when environmental assessments and/or remedial efforts are probable and the amounts can be reasonably estimated. Generally, our recording of these accruals coincides with our completion of a feasibility study or our commitment to a formal plan of action. We do not discount our environmental remediation liabilities to present value. We also record environmental liabilities assumed in business combinations based on the estimated fair value of the environmental obligations caused by past operations of the acquired company. We record receivables for amounts we believe are recoverable from insurance or from third parties under indemnification agreements in the period that we determine the costs are probable of recovery.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Environmental expenditures that pertain to current operations or to future revenues are expensed or capitalized consistent with our capitalization policy for property and equipment. Expenditures that result from the remediation of an existing condition caused by past operations and that do not contribute to current or future profitability are expensed.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At March 31, 2024, our estimated undiscounted reserve for environmental liabilities (excluding liabilities related to the Line 901 incident, as discussed further below) totaled $56 million, of which $11 million was classified as short-term and $45 million was classified as long-term. At December 31, 2023, our estimated undiscounted reserve for environmental liabilities (excluding liabilities related to the Line 901 incident) totaled $56 million, of which $10 million was classified as short-term and $46 million was classified as long-term. Such short-term liabilities are reflected in “Other current liabilities” and long-term liabilities are reflected in “Other long-term liabilities and deferred credits” on our Condensed Consolidated Balance Sheets. At both March 31, 2024 and December 31, 2023, we had recorded receivables (excluding receivables related to the Line 901 incident) totaling $4 million for amounts probable of recovery under insurance and from third parties under indemnification agreements, approximately $1 million of which for each period is reflected in “Other long-term assets, net” and the remainder is reflected in “Trade accounts receivable and other receivables, net” on our Condensed Consolidated Balance Sheets.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some cases, the actual cash expenditures associated with these liabilities may not occur for three years or longer. Our estimates used in determining these reserves are based on information currently available to us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and the possibility of existing or future legal claims giving rise to additional liabilities. Therefore, although we believe that the reserve is adequate, actual costs incurred (which may ultimately include costs for contingencies that are currently not reasonably estimable or costs for contingencies where the likelihood of loss is currently believed to be only reasonably possible or remote) may be in excess of the reserve and may potentially have a material adverse effect on our consolidated financial condition, results of operations or cash flows.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Specific Legal, Environmental or Regulatory Matters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Line 901 Incident</w:t>
      </w:r>
      <w:r>
        <w:rPr>
          <w:rFonts w:ascii="Times New Roman;sans-serif" w:hAnsi="Times New Roman;sans-serif"/>
          <w:b w:val="false"/>
          <w:color w:val="000000"/>
          <w:sz w:val="20"/>
        </w:rPr>
        <w:t>. In May 2015, we experienced a crude oil release from our Las Flores to Gaviota Pipeline (Line 901) in Santa Barbara County, California. A portion of the released crude oil reached the Pacific Ocean at Refugio State Beach through a drainage culvert. Following the release, we shut down the pipeline and initiated our emergency response plan. A Unified Command, which included the United States Coast Guard, the EPA, the State of California Department of Fish and Wildlife (“CDFW”), the California Office of Spill Prevention and Response and the Santa Barbara Office of Emergency Management, was established for the response effort. Clean-up and remediation operations with respect to impacted shoreline and other areas has been determined by the Unified Command to be complete, and the Unified Command has been dissolved. Our estimate of the amount of oil spilled, based on relevant facts, data and information, and as set forth in the Consent Decree described below, is approximately 2,934 barrels; of this amount, we estimate that 598 barrels reached the Pacific Ocean.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of the Line 901 incident, several governmental agencies and regulators initiated investigations into the Line 901 incident, various claims have been made against us and a number of lawsuits have been filed against us, the majority of which have been resolved. Set forth below is a brief summary of actions and matters that are currently pending or recently resolved.</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73bffeb5d0234a1a8b7cd8141a48185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the “responsible party” for the Line 901 incident we are liable for various costs and for certain natural resource damages under the Oil Pollution Act. In this regard, following the Line 901 incident, we entered into a cooperative Natural Resource Damage Assessment (“NRDA”) process with the federal and state agencies designated or authorized by law to act as trustees for the natural resources of the United States and the State of California (collectively, the “Trustees”). Additionally, various government agencies sought to collect civil fines and penalties under applicable state and federal regulations. On March 13, 2020, the United States and the People of the State of California filed a civil complaint against Plains All American Pipeline, L.P. and Plains Pipeline L.P. along with a pre-negotiated settlement agreement in the form of a Consent Decree (the “Consent Decree”) that was signed by the United States Department of Justice, Environmental and Natural Resources Division, the United States Department of Transportation, Pipeline and Hazardous Materials Safety Administration, the EPA, CDFW, the California Department of Parks and Recreation, the California State Lands Commission, the California Department of Forestry and Fire Protection’s Office of the State Fire Marshal, Central Coast Regional Water Quality Control Board, and Regents of the University of California. The Consent Decree was approved and entered by the Federal District Court for the Central District of California on October 14, 2020. Pursuant to the terms of the Consent Decree, Plains paid $24 million in civil penalties and $22.325 million as compensation for injuries to, destruction of, loss of, or loss of use of natural resources resulting from the Line 901 incident. The Consent Decree, which resolved all regulatory claims related to the incident, also contains requirements for implementing certain agreed-upon injunctive relief, as well as requirements for potentially restarting Line 901 and the Sisquoc to Pentland portion of Line 903. On October 13, 2022, Plains sold Line 901 and the Sisquoc to Pentland portion of Line 903 to Pacific Pipeline Company, an indirect wholly owned subsidiary of Exxon Mobil Corporation. As required by the terms of the Consent Decree, such purchaser assumed responsibility for compliance with the Consent Decree as it relates to the future ownership and operation of Line 901 and the Sisquoc to Pentland portion of Line 903.</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Following an investigation and grand jury proceedings, in May of 2016, PAA was charged by a California state grand jury, pursuant to an indictment filed in California Superior Court, Santa Barbara County (the “May 2016 Indictment”), with alleged violations of California law in connection with the Line 901 incident. Fifteen charges from the May 2016 Indictment were the subject of a jury trial in California Superior Court in Santa Barbara County, and the jury returned a verdict on September 7, 2018, pursuant to which we were (i) found guilty on one felony discharge count and eight misdemeanor counts (which included one reporting count, one strict liability discharge count and six strict liability animal takings counts) and (ii) found not guilty on one strict liability animal takings count. The remaining counts were subsequently dismissed by the Court. On April 25, 2019, PAA was sentenced to pay fines and penalties in the aggregate amount of just under $3.35 million for the convictions covered by the September 2018 jury verdict (the “2019 Sentence”). The fines and penalties imposed in connection with the 2019 Sentence have been paid. In September 2021, the Superior Court concluded a series of hearings on the issue of whether there were any “direct victims” of the spill that are entitled to restitution under applicable criminal law. Through a series of final orders issued at the trial court level and without affecting any rights of the claimants under civil law, the Court dismissed the vast majority of the claims and ruled that the claimants were not entitled to restitution under applicable criminal laws. The Court did award an aggregate amount of less than $150,000 to a handful of claimants and we settled with approximately 40 claimants before the hearings for aggregate consideration that is not material. The prosecution and certain separately represented claimants have appealed the Court’s rulings.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also received several individual lawsuits and claims from companies, governmental agencies and individuals alleging damages arising out of the Line 901 incident. These lawsuits and claims generally seek restitution, compensatory and punitive damages, and/or injunctive relief. The majority of these lawsuits have been settled or dismissed by the court. In addition to the other lawsuits disclosed herein, the following lawsuits remain: (i) a lawsuit in California Superior Court in Santa Barbara County for lost revenue or profit asserted by a former oil producer that declared bankruptcy and shut in its offshore production platform following the Line 901 incident, which is currently scheduled for trial in July 2024; (ii) a lawsuit filed by the California State Land Commission in California Superior Court in Santa Barbara County seeking lost royalties following the shut-down of Line 901, as well as costs related to the decommissioning of such platform, which is currently scheduled for trial in October 2024, and (iii) lawsuits filed in California Superior Court in Santa Barbara County by various companies and individuals who provided labor, goods, or services associated with oil production activities they claim were disrupted following the Line 901 incident, which lawsuits have not yet been set for trial. We are vigorously defending these remaining lawsuits and believe we have strong defenses.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shortly following the Line 901 incident, we established a claims line and encouraged any parties that were damaged by the release to contact us to discuss their damage claims. We received a number of claims through the claims line and we have processed those claims and made payments as appropriate.</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73bffeb5d0234a1a8b7cd8141a48185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a class action lawsuit was filed against us in United States District Court for the Central District of California in which the class plaintiffs seek a declaratory judgment that Plains’ right-of-way agreements would not allow Plains to lay a new pipeline to replace Line 901 and/or the non-operating segment of Line 903 without paying additional compensation. The purchaser of Line 901 and the Sisquoc to Pentland portion of Line 903 has assumed liability for these claims with respect to its interest in such acquired pipelines and Plains has been dismissed from this portion of the lawsuit. In the same proceeding, a small subset of plaintiffs are also claiming damages to compensate them for trespass and the alleged diminished value of their properties due to the stigma of the oil spill. We are vigorously defending against these immaterial claims. This case is currently scheduled to go to trial in July 2024.</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 separate class action lawsuit that was pending in United States District Court for the Central District of California, the plaintiffs claimed two different classes of claimants were damaged by the release: (i) commercial fishermen who landed fish in certain specified fishing blocks in the waters off the coast of Southern California or persons or businesses who resold commercial seafood caught in those areas; and (ii) owners and lessees of residential beachfront properties, or properties with a private easement to a beach, where plaintiffs claim oil from the spill washed up. In 2022, in order to fully and finally resolve all claims and litigation for both classes, we reached an agreement to settle this case in exchange for a payment of $230 million (the “Class Action Settlement”). The Class Action Settlement was formally approved by the trial court on September 20, 2022, and we made the $230 million settlement payment on October 27, 2022 and the lawsuit was subsequently dismissed.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Plains formally submitted claims for reimbursement of the Class Action Settlement to our insurance carriers on November 7, 2022. To date, we have received payment of approximately $3.6 million from one insurer, which represents the final payment obligation of such insurer and brings the total amount collected from all insurers under such program to $275 million of the $500 million policy limits as of March 31, 2024. Insurers responsible for $185 million of the remaining $225 million of coverage have formally communicated a denial of coverage for the Class Action Settlement, generally alleging that some or all damages encompassed by the Class Action Settlement are not covered by their policies and that all or some portion of the $275 million for which Plains has already received insurance reimbursement does not properly exhaust the underlying policies that paid those sums. The insurer responsible for the final $40 million of coverage under such insurance program has not yet accepted nor denied coverage. We have initiated final and binding arbitration proceedings against all of the insurers responsible for the remaining $225 million of coverage with respect to which we have not received reimbursement. We believe that our claim for reimbursement from our insurers of the Class Action Settlement payment is strong and that our ultimate recovery of such amounts is probable. Our belief is based on: (i) our analysis of the terms of the underlying insurance policies as applied to the facts and circumstances that comprise our claim for reimbursement, (ii) our experience with the cost submissions and timely collection of claims for the $275 million collected to date for this incident under the same insurance program as the denied claims, including from some of the same insurers who are now denying claims, (iii) our extensive legal review and assessment of the insurer’s claimed basis for denial of coverage, which review and assessment includes the advice of external legal counsel experienced in these type of matters and solidly supports our belief that our insurers are required to provide coverage based on the terms of the policies and the nature of our claims, and (iv) the financial strength of the insurance carriers as determined by an independent credit ratings agency. Various factors could impact the timing and amount of recovery of our insurance receivable, including future developments that adversely impact our assessment of the strength of our coverage claims, the outcome of any dispute resolution proceedings with respect to our coverage claims and the extent to which insurers may become insolvent in the future. An unfavorable resolution could have a material impact on our results of operations.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73bffeb5d0234a1a8b7cd8141a48185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foregoing, including the Class Action Settlement, we have made adjustments to our total estimated Line 901 costs and the portion of such costs that we believe are probable of recovery from insurance carriers, net of deductibles. Effective as of March 31, 2024, we estimate that the aggregate total costs we have incurred or will incur with respect to the Line 901 incident will be approximately $750 million, which includes actual and projected emergency response and clean-up costs, natural resource damage assessments, fines and penalties payable pursuant to the Consent Decree, certain third-party claims settlements (including the Class Action Settlement), and estimated costs associated with our remaining Line 901 lawsuits and claims as described above, as well as estimates for certain legal fees and statutory interest where applicable. We accrue such estimates of aggregate total costs to “Field operating costs” in our Condensed Consolidated Statements of Operations. This estimate considers our prior experience in environmental investigation and remediation matters and available data from, and in consultation with, our environmental and other specialists, as well as currently available facts and presently enacted laws and regulations. We have made assumptions for (i) the resolution of certain third-party claims and lawsuits, but excluding claims and lawsuits with respect to which losses are not probable and reasonably estimable, and excluding future claims and lawsuits and (ii) the nature, extent and cost of legal services that will be required in connection with all lawsuits, claims and other matters requiring legal or expert advice associated with the Line 901 incident. Our estimate does not include any lost revenue associated with the shutdown of Line 901 or 903 and does not include any liabilities or costs that are not reasonably estimable at this time or that relate to contingencies where we currently regard the likelihood of loss as being only reasonably possible or remote. We believe we have accrued adequate amounts for all probable and reasonably estimable costs; however, this estimate is subject to uncertainties associated with the assumptions that we have made. For example, with respect to potential losses that we regard as only reasonably possible or remote, we have made assumptions regarding the strength of our legal position based on our assessment of the relevant facts and applicable law and precedent; if our assumptions regarding such matters turn out to be inaccurate (i.e., we are found to be liable under circumstances where we regard the likelihood of loss as being only reasonably possible or remote), we could be responsible for significant costs and expenses that are not currently included in our estimates and accruals. In addition, for any potential losses that we regard as probable and for which we have accrued an estimate of the potential losses, our estimates regarding damages, legal fees, court costs and interest could turn out to be inaccurate and the actual losses we incur could be significantly higher than the amounts included in our estimates and accruals. Also, the amount of time it takes for us to resolve all of the current and future lawsuits and claims that relate to the Line 901 incident could turn out to be significantly longer than we have assumed, and as a result the costs we incur for legal services could be significantly higher than we have estimated. Accordingly, our assumptions and estimates may turn out to be inaccurate and our total costs could turn out to be materially higher; therefore, we can provide no assurance that we will not have to accrue significant additional costs in the future with respect to the Line 901 incident.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did not recognize any costs, net of amounts probable of recovery from insurance carriers, during the three months ended March 31, 2024 and 2023. As of March 31, 2024, we had a remaining undiscounted gross liability of approximately $90 million related to the Line 901 incident, which aggregate amount is reflected in “Current liabilities” on our Condensed Consolidated Balance Sheet. As discussed above, we maintain insurance coverage, which is subject to certain exclusions and deductibles, in the event of such liabilities. As of March 31, 2024, our incurred costs for the Line 901 incident have exceeded our insurance coverage limit of $500 million related to our 2015 insurance program applicable to the Line 901 incident by $250 million. Through March 31, 2024, we had collected, subject to customary reservations, approximately $280 million out of the $505 million of release costs that we believe are probable of recovery from insurance carriers (including the 2015 insurance program and our directors and officers (D&amp;O) insurance policies), net of deductibles. Therefore, as of March 31, 2024, we have recognized a long-term receivable of approximately $225 million for the portion of the release costs that we believe is probable of recovery from insurance, net of deductibles and amounts already collected. We anticipate that the process to enforce our coverage claims with respect to the Class Action Settlement will take time and, accordingly, have recognized such amount as a long-term asset in “Other assets” on our Condensed Consolidated Balance Sheet.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completed the required clean-up and remediation work as determined by the Unified Command and the Unified Command has been dissolved; however, we expect to make payments for additional legal, professional and regulatory costs during future periods. Taking into account the costs that we have included in our total estimate of costs for the Line 901 incident and considering what we regard as very strong defenses to the claims made in our remaining Line 901 lawsuits, we do not believe the ultimate resolution of such remaining lawsuits will have a material adverse effect on our consolidated financial condition, results of operations or cash flows.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73bffeb5d0234a1a8b7cd8141a48185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 xml:space="preserve">Other Litigation Matters. </w:t>
      </w:r>
      <w:r>
        <w:rPr>
          <w:rFonts w:ascii="Times New Roman;sans-serif" w:hAnsi="Times New Roman;sans-serif"/>
          <w:b w:val="false"/>
          <w:color w:val="000000"/>
          <w:sz w:val="20"/>
        </w:rPr>
        <w:t>On July 19, 2022 Hartree Natural Gas Storage, LLC (“Hartree”) filed a lawsuit under seal in the Superior Court for the State of Delaware asserting claims against PAA Natural Gas Storage, L.P. and PAA arising out of a Membership Interest Purchase Agreement relating to the 2021 sale of the Pine Prairie Energy Center natural gas storage facility to Hartree. We believe the claims are without merit and that the outcome of the lawsuit will not have a material adverse effect on our financial condition, results of operations or cash flows. We intend to vigorously defend against the claims asserted in this lawsuit, which is currently scheduled for trial in May 2024.</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10—Segment Information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manage our operations through two operating segments, which are also our reportable segments: Crude Oil and NGL. See Note 19 to our Consolidated Financial Statements included in Part IV of our 2023 Annual Report on Form 10-K for a summary of the types of products and services from which each segment derives its revenues. Our CODM (our Chief Executive Officer) evaluates segment performance based on measures including Segment Adjusted EBITDA (as defined below) and maintenance capital.</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measure of Segment Adjusted EBITDA forms the basis of our internal financial reporting and is the primary performance measure used by our CODM in assessing performance and allocating resources among our operating segments. We define Segment Adjusted EBITDA as revenues and equity earnings in unconsolidated entities less (a) purchases and related costs, (b) field operating costs and (c) segment general and administrative expenses, plus (d) our proportionate share of the depreciation and amortization expense (including write-downs related to cancelled projects and impairments) of unconsolidated entities, further adjusted (e) for certain selected items including (i) gains and losses on derivative instruments that are related to underlying activities in another period (or the reversal of such adjustments from a prior period), gains and losses on derivatives that are either related to investing activities (such as the purchase of linefill) or purchases of long-term inventory, and inventory valuation adjustments, as applicable, (ii) long-term inventory costing adjustments, (iii) charges for obligations that are expected to be settled with the issuance of equity instruments, (iv) amounts related to deficiencies associated with minimum volume commitments, net of the applicable amounts subsequently recognized into revenue and (v) other items that our CODM believes are integral to understanding our core segment operating performance and (f) to exclude the portion of all preceding items that is attributable to noncontrolling interests in consolidated joint venture entities (“Segment amounts attributable to noncontrolling interests in consolidated joint ventures”).</w:t>
      </w:r>
    </w:p>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73bffeb5d0234a1a8b7cd8141a48185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reflect certain financial data for each segment (in millions):</w:t>
      </w:r>
    </w:p>
    <w:p>
      <w:pPr>
        <w:pStyle w:val="TextBody"/>
        <w:bidi w:val="0"/>
        <w:spacing w:before="0" w:after="0"/>
        <w:ind w:left="0" w:right="0" w:firstLine="720"/>
        <w:jc w:val="left"/>
        <w:rPr/>
      </w:pPr>
      <w:r>
        <w:rPr/>
      </w:r>
    </w:p>
    <w:tbl>
      <w:tblPr>
        <w:tblW w:w="9234" w:type="dxa"/>
        <w:jc w:val="center"/>
        <w:tblInd w:w="0" w:type="dxa"/>
        <w:tblLayout w:type="fixed"/>
        <w:tblCellMar>
          <w:top w:w="28" w:type="dxa"/>
          <w:left w:w="28" w:type="dxa"/>
          <w:bottom w:w="28" w:type="dxa"/>
          <w:right w:w="28" w:type="dxa"/>
        </w:tblCellMar>
      </w:tblPr>
      <w:tblGrid>
        <w:gridCol w:w="1293"/>
        <w:gridCol w:w="1136"/>
        <w:gridCol w:w="1141"/>
        <w:gridCol w:w="211"/>
        <w:gridCol w:w="721"/>
        <w:gridCol w:w="109"/>
        <w:gridCol w:w="109"/>
        <w:gridCol w:w="109"/>
        <w:gridCol w:w="109"/>
        <w:gridCol w:w="211"/>
        <w:gridCol w:w="466"/>
        <w:gridCol w:w="109"/>
        <w:gridCol w:w="109"/>
        <w:gridCol w:w="109"/>
        <w:gridCol w:w="109"/>
        <w:gridCol w:w="465"/>
        <w:gridCol w:w="1063"/>
        <w:gridCol w:w="242"/>
        <w:gridCol w:w="109"/>
        <w:gridCol w:w="109"/>
        <w:gridCol w:w="109"/>
        <w:gridCol w:w="211"/>
        <w:gridCol w:w="721"/>
        <w:gridCol w:w="154"/>
      </w:tblGrid>
      <w:tr>
        <w:trPr/>
        <w:tc>
          <w:tcPr>
            <w:tcW w:w="1293"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Crude Oil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NGL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Intersegment Revenues</w:t>
              <w:br/>
              <w:t>Elimination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Three Months Ended March 31, 2024</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Revenues </w:t>
            </w:r>
            <w:r>
              <w:rPr>
                <w:rFonts w:ascii="Times New Roman;sans-serif" w:hAnsi="Times New Roman;sans-serif"/>
                <w:b w:val="false"/>
                <w:color w:val="000000"/>
                <w:sz w:val="13"/>
              </w:rPr>
              <w:t>(1)</w:t>
            </w:r>
            <w:r>
              <w:rPr>
                <w:rFonts w:ascii="Times New Roman;sans-serif" w:hAnsi="Times New Roman;sans-serif"/>
                <w:b w:val="false"/>
                <w:color w:val="000000"/>
                <w:sz w:val="20"/>
              </w:rPr>
              <w:t>:</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earnings in unconsolidated entities</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Maintenance capital expenditures</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Three Months Ended March 31, 2023</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Revenues </w:t>
            </w:r>
            <w:r>
              <w:rPr>
                <w:rFonts w:ascii="Times New Roman;sans-serif" w:hAnsi="Times New Roman;sans-serif"/>
                <w:b w:val="false"/>
                <w:color w:val="000000"/>
                <w:sz w:val="13"/>
              </w:rPr>
              <w:t>(1)</w:t>
            </w:r>
            <w:r>
              <w:rPr>
                <w:rFonts w:ascii="Times New Roman;sans-serif" w:hAnsi="Times New Roman;sans-serif"/>
                <w:b w:val="false"/>
                <w:color w:val="000000"/>
                <w:sz w:val="20"/>
              </w:rPr>
              <w:t>:</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earnings in unconsolidated entities</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Maintenance capital expenditures</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Segment revenues include intersegment amounts that are eliminated in Purchases and related costs. Intersegment activities are conducted at posted tariff rates where applicable, or otherwise at rates similar to those charged to third parties or rates that we believe approximate market at the time the agreement is executed or renegotiated.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73bffeb5d0234a1a8b7cd8141a48185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Segment Adjusted EBITDA Reconciliation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Segment Adjusted EBITDA to Net income attributable to PAGP (in millions):</w:t>
      </w:r>
    </w:p>
    <w:p>
      <w:pPr>
        <w:pStyle w:val="TextBody"/>
        <w:bidi w:val="0"/>
        <w:spacing w:lineRule="auto" w:line="288" w:before="0" w:after="0"/>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2631"/>
        <w:gridCol w:w="2296"/>
        <w:gridCol w:w="2309"/>
        <w:gridCol w:w="109"/>
        <w:gridCol w:w="109"/>
        <w:gridCol w:w="141"/>
        <w:gridCol w:w="141"/>
        <w:gridCol w:w="141"/>
        <w:gridCol w:w="141"/>
        <w:gridCol w:w="274"/>
        <w:gridCol w:w="606"/>
        <w:gridCol w:w="141"/>
        <w:gridCol w:w="109"/>
        <w:gridCol w:w="109"/>
        <w:gridCol w:w="109"/>
        <w:gridCol w:w="211"/>
        <w:gridCol w:w="466"/>
        <w:gridCol w:w="162"/>
      </w:tblGrid>
      <w:tr>
        <w:trPr/>
        <w:tc>
          <w:tcPr>
            <w:tcW w:w="2631"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2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166" w:type="dxa"/>
            <w:gridSpan w:val="6"/>
            <w:tcBorders/>
          </w:tcPr>
          <w:p>
            <w:pPr>
              <w:pStyle w:val="TableContents"/>
              <w:bidi w:val="0"/>
              <w:spacing w:before="0" w:after="283"/>
              <w:jc w:val="left"/>
              <w:rPr>
                <w:sz w:val="4"/>
                <w:szCs w:val="4"/>
              </w:rPr>
            </w:pPr>
            <w:r>
              <w:rPr>
                <w:sz w:val="4"/>
                <w:szCs w:val="4"/>
              </w:rPr>
            </w:r>
          </w:p>
        </w:tc>
      </w:tr>
      <w:tr>
        <w:trPr/>
        <w:tc>
          <w:tcPr>
            <w:tcW w:w="72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7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Adjustments: </w:t>
            </w:r>
            <w:r>
              <w:rPr>
                <w:rFonts w:ascii="Times New Roman;sans-serif" w:hAnsi="Times New Roman;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ans-serif" w:hAnsi="Times New Roman;sans-serif"/>
                <w:b w:val="false"/>
                <w:color w:val="000000"/>
                <w:sz w:val="20"/>
              </w:rPr>
              <w:t xml:space="preserve">Depreciation and amortization of unconsolidated entities </w:t>
            </w:r>
            <w:r>
              <w:rPr>
                <w:rFonts w:ascii="Times New Roman;sans-serif" w:hAnsi="Times New Roman;sans-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Derivative activities and inventory valuation adjustments </w:t>
            </w:r>
            <w:r>
              <w:rPr>
                <w:rFonts w:ascii="Times New Roman;sans-serif" w:hAnsi="Times New Roman;sans-serif"/>
                <w:b w:val="false"/>
                <w:color w:val="000000"/>
                <w:sz w:val="13"/>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ans-serif" w:hAnsi="Times New Roman;sans-serif"/>
                <w:b w:val="false"/>
                <w:color w:val="000000"/>
                <w:sz w:val="20"/>
              </w:rPr>
              <w:t xml:space="preserve">Long-term inventory costing adjustments </w:t>
            </w:r>
            <w:r>
              <w:rPr>
                <w:rFonts w:ascii="Times New Roman;sans-serif" w:hAnsi="Times New Roman;sans-serif"/>
                <w:b w:val="false"/>
                <w:color w:val="000000"/>
                <w:sz w:val="13"/>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ans-serif" w:hAnsi="Times New Roman;sans-serif"/>
                <w:b w:val="false"/>
                <w:color w:val="000000"/>
                <w:sz w:val="20"/>
              </w:rPr>
              <w:t xml:space="preserve">Deficiencies under minimum volume commitments, net </w:t>
            </w:r>
            <w:r>
              <w:rPr>
                <w:rFonts w:ascii="Times New Roman;sans-serif" w:hAnsi="Times New Roman;sans-serif"/>
                <w:b w:val="false"/>
                <w:color w:val="000000"/>
                <w:sz w:val="13"/>
              </w:rPr>
              <w:t>(5)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ans-serif" w:hAnsi="Times New Roman;sans-serif"/>
                <w:b w:val="false"/>
                <w:color w:val="000000"/>
                <w:sz w:val="20"/>
              </w:rPr>
              <w:t xml:space="preserve">Equity-indexed compensation expense </w:t>
            </w:r>
            <w:r>
              <w:rPr>
                <w:rFonts w:ascii="Times New Roman;sans-serif" w:hAnsi="Times New Roman;sans-serif"/>
                <w:b w:val="false"/>
                <w:color w:val="000000"/>
                <w:sz w:val="13"/>
              </w:rPr>
              <w:t>(6)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ans-serif" w:hAnsi="Times New Roman;sans-serif"/>
                <w:b w:val="false"/>
                <w:color w:val="000000"/>
                <w:sz w:val="20"/>
              </w:rPr>
              <w:t xml:space="preserve">Foreign currency revaluation </w:t>
            </w:r>
            <w:r>
              <w:rPr>
                <w:rFonts w:ascii="Times New Roman;sans-serif" w:hAnsi="Times New Roman;sans-serif"/>
                <w:b w:val="false"/>
                <w:color w:val="000000"/>
                <w:sz w:val="13"/>
              </w:rPr>
              <w:t>(7)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r>
        <w:trPr/>
        <w:tc>
          <w:tcPr>
            <w:tcW w:w="72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r>
        <w:trPr/>
        <w:tc>
          <w:tcPr>
            <w:tcW w:w="723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Segment amounts attributable to noncontrolling interests in consolidated joint ventures </w:t>
            </w:r>
            <w:r>
              <w:rPr>
                <w:rFonts w:ascii="Times New Roman;sans-serif" w:hAnsi="Times New Roman;sans-serif"/>
                <w:b w:val="false"/>
                <w:color w:val="000000"/>
                <w:sz w:val="13"/>
              </w:rPr>
              <w:t>(8)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Unallocated general and administrative expenses </w:t>
            </w:r>
            <w:r>
              <w:rPr>
                <w:rFonts w:ascii="Times New Roman;sans-serif" w:hAnsi="Times New Roman;sans-serif"/>
                <w:b w:val="false"/>
                <w:color w:val="000000"/>
                <w:sz w:val="13"/>
              </w:rPr>
              <w:t>(9)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Gains/(losses) on asset sales,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r>
        <w:trPr/>
        <w:tc>
          <w:tcPr>
            <w:tcW w:w="7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PAGP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Represents adjustments utilized by our CODM in the evaluation of segment results.</w:t>
      </w:r>
    </w:p>
    <w:p>
      <w:pPr>
        <w:pStyle w:val="TextBody"/>
        <w:bidi w:val="0"/>
        <w:spacing w:lineRule="auto" w:line="288" w:before="0" w:after="120"/>
        <w:ind w:left="0" w:right="0" w:hanging="72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Includes our proportionate share of the depreciation and amortization expense (including write-downs related to cancelled projects and impairments) of unconsolidated entities.</w:t>
      </w:r>
    </w:p>
    <w:p>
      <w:pPr>
        <w:pStyle w:val="TextBody"/>
        <w:bidi w:val="0"/>
        <w:spacing w:lineRule="auto" w:line="288" w:before="0" w:after="120"/>
        <w:ind w:left="0" w:right="0" w:hanging="720"/>
        <w:jc w:val="left"/>
        <w:rPr/>
      </w:pPr>
      <w:r>
        <w:rPr>
          <w:rFonts w:ascii="Times New Roman;sans-serif" w:hAnsi="Times New Roman;sans-serif"/>
          <w:b w:val="false"/>
          <w:color w:val="000000"/>
          <w:sz w:val="13"/>
        </w:rPr>
        <w:t>(3)</w:t>
      </w:r>
      <w:r>
        <w:rPr>
          <w:rFonts w:ascii="Times New Roman;sans-serif" w:hAnsi="Times New Roman;sans-serif"/>
          <w:b w:val="false"/>
          <w:color w:val="000000"/>
          <w:sz w:val="20"/>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we identify differences in the timing of earnings from the derivative instruments and the underlying transactions and exclude the related gains and losses in determining Segment Adjusted EBITDA such that the earnings from the derivative instruments and the underlying transactions impact Segment Adjusted EBITDA in the same period. In addition, we exclude gains and losses on derivatives that are related to (i) investing activities, such as the purchase of linefill, and (ii) purchases of long-term inventory. We also exclude the impact of corresponding inventory valuation adjustments, as applicable.</w:t>
      </w:r>
    </w:p>
    <w:p>
      <w:pPr>
        <w:pStyle w:val="TextBody"/>
        <w:bidi w:val="0"/>
        <w:spacing w:lineRule="auto" w:line="288" w:before="0" w:after="120"/>
        <w:ind w:left="0" w:right="0" w:hanging="720"/>
        <w:jc w:val="left"/>
        <w:rPr/>
      </w:pPr>
      <w:r>
        <w:rPr>
          <w:rFonts w:ascii="Times New Roman;sans-serif" w:hAnsi="Times New Roman;sans-serif"/>
          <w:b w:val="false"/>
          <w:color w:val="000000"/>
          <w:sz w:val="13"/>
        </w:rPr>
        <w:t>(4)</w:t>
      </w:r>
      <w:r>
        <w:rPr>
          <w:rFonts w:ascii="Times New Roman;sans-serif" w:hAnsi="Times New Roman;sans-serif"/>
          <w:b w:val="false"/>
          <w:color w:val="000000"/>
          <w:sz w:val="20"/>
        </w:rPr>
        <w:t xml:space="preserve">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exclude the impact of changes in the average cost of the long-term inventory (that result from fluctuations in market prices) and write-downs of such inventory that result from price declines from Segment Adjusted EBITDA.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73bffeb5d0234a1a8b7cd8141a48185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lineRule="auto" w:line="288" w:before="0" w:after="120"/>
        <w:ind w:left="0" w:right="0" w:hanging="720"/>
        <w:jc w:val="left"/>
        <w:rPr/>
      </w:pPr>
      <w:r>
        <w:rPr>
          <w:rFonts w:ascii="Times New Roman;sans-serif" w:hAnsi="Times New Roman;sans-serif"/>
          <w:b w:val="false"/>
          <w:color w:val="000000"/>
          <w:sz w:val="13"/>
        </w:rPr>
        <w:t>(5)</w:t>
      </w:r>
      <w:r>
        <w:rPr>
          <w:rFonts w:ascii="Times New Roman;sans-serif" w:hAnsi="Times New Roman;sans-serif"/>
          <w:b w:val="false"/>
          <w:color w:val="000000"/>
          <w:sz w:val="20"/>
        </w:rPr>
        <w:t xml:space="preserve">We, and certain of our equity method investees, have certain agreements that require counterparties to deliver, transport or throughput a minimum volume over an agreed upon period. Substantially all of such agreements were entered into with counterparties to economically support the return on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or equity earnings, as a selected item impacting comparability. Our CODM views the inclusion of the contractually committed revenues associated with that period as meaningful to Segment Adjusted EBITDA as the related asset has been constructed, is standing ready to provide the committed service and the fixed operating costs are included in the current period results. </w:t>
      </w:r>
    </w:p>
    <w:p>
      <w:pPr>
        <w:pStyle w:val="TextBody"/>
        <w:bidi w:val="0"/>
        <w:spacing w:lineRule="auto" w:line="288" w:before="0" w:after="120"/>
        <w:ind w:left="0" w:right="0" w:hanging="720"/>
        <w:jc w:val="left"/>
        <w:rPr/>
      </w:pPr>
      <w:r>
        <w:rPr>
          <w:rFonts w:ascii="Times New Roman;sans-serif" w:hAnsi="Times New Roman;sans-serif"/>
          <w:b w:val="false"/>
          <w:color w:val="000000"/>
          <w:sz w:val="13"/>
        </w:rPr>
        <w:t>(6)</w:t>
      </w:r>
      <w:r>
        <w:rPr>
          <w:rFonts w:ascii="Times New Roman;sans-serif" w:hAnsi="Times New Roman;sans-serif"/>
          <w:b w:val="false"/>
          <w:color w:val="000000"/>
          <w:sz w:val="20"/>
        </w:rPr>
        <w:t>Our total equity-indexed compensation expense includes expense associated with awards that will be settled in PAA common units and awards that will be settled in cash. The awards that will be settled in PAA common units are included in PAA’s diluted net income per unit calculation when the applicable performance criteria have been met. We exclude compensation expense associated with these awards in determining Segment Adjusted EBITDA as the dilutive impact of the outstanding awards is included in PAA’s diluted net income per unit calculation, as applicable. The portion of compensation expense associated with awards that will be settled in cash is not excluded in determining Segment Adjusted EBITDA. See Note 17 to our Consolidated Financial Statements included in Part IV of our 2023 Annual Report on Form 10-K for a discussion regarding our equity-indexed compensation plans.</w:t>
      </w:r>
    </w:p>
    <w:p>
      <w:pPr>
        <w:pStyle w:val="TextBody"/>
        <w:bidi w:val="0"/>
        <w:spacing w:lineRule="auto" w:line="288" w:before="0" w:after="120"/>
        <w:ind w:left="0" w:right="0" w:hanging="720"/>
        <w:jc w:val="left"/>
        <w:rPr/>
      </w:pPr>
      <w:r>
        <w:rPr>
          <w:rFonts w:ascii="Times New Roman;sans-serif" w:hAnsi="Times New Roman;sans-serif"/>
          <w:b w:val="false"/>
          <w:color w:val="000000"/>
          <w:sz w:val="13"/>
        </w:rPr>
        <w:t>(7)</w:t>
      </w:r>
      <w:r>
        <w:rPr>
          <w:rFonts w:ascii="Times New Roman;sans-serif" w:hAnsi="Times New Roman;sans-serif"/>
          <w:b w:val="false"/>
          <w:color w:val="000000"/>
          <w:sz w:val="20"/>
        </w:rPr>
        <w:t>During the periods presented, there were fluctuations in the value of CAD to USD, resulting in the realization of foreign exchange gains and losses on the settlement of foreign currency transactions as well as the revaluation of monetary assets and liabilities denominated in a foreign currency. These gains and losses are not integral to our core operating performance and were therefore excluded in determining Segment Adjusted EBITDA.</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(8)</w:t>
      </w:r>
      <w:r>
        <w:rPr>
          <w:rFonts w:ascii="Times New Roman;sans-serif" w:hAnsi="Times New Roman;sans-serif"/>
          <w:b w:val="false"/>
          <w:color w:val="000000"/>
          <w:sz w:val="20"/>
        </w:rPr>
        <w:t>Reflects amounts attributable to noncontrolling interests in the Permian JV, Cactus II and Red River.</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(9)</w:t>
      </w:r>
      <w:r>
        <w:rPr>
          <w:rFonts w:ascii="Times New Roman;sans-serif" w:hAnsi="Times New Roman;sans-serif"/>
          <w:b w:val="false"/>
          <w:color w:val="000000"/>
          <w:sz w:val="20"/>
        </w:rPr>
        <w:t>Represents general and administrative expenses incremental to those of PAA, which are not allocated to our reporting segments in determining Segment Adjusted EBITDA.</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73bffeb5d0234a1a8b7cd8141a48185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Introduction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discussion is intended to provide investors with an understanding of our financial condition and results of our operations and should be read in conjunction with our historical Consolidated Financial Statements and accompanying notes and Management’s Discussion and Analysis of Financial Condition and Results of Operations as presented in our 2023 Annual Report on Form 10-K. For more detailed information regarding the basis of presentation for the following financial information, see the Condensed Consolidated Financial Statements and related notes that are contained in Part I, Item 1 of this Quarterly Report on Form 10-Q.</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discussion and analysis includes the following:</w:t>
      </w:r>
    </w:p>
    <w:p>
      <w:pPr>
        <w:pStyle w:val="TextBody"/>
        <w:bidi w:val="0"/>
        <w:spacing w:lineRule="auto" w:line="288" w:before="0" w:after="0"/>
        <w:jc w:val="left"/>
        <w:rPr>
          <w:color w:val="000000"/>
        </w:rPr>
      </w:pPr>
      <w:r>
        <w:rPr>
          <w:color w:val="000000"/>
        </w:rPr>
        <w:t>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Executive Summary</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Results of Operations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Liquidity and Capital Resources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Recent Accounting Pronouncements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Forward-Looking Statements</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Executive Summary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Company Overview</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a Delaware limited partnership that has elected to be taxed as a corporation for United States federal income tax purposes. As of March 31, 2024, our sole cash-generating assets consisted of an approximate 85% limited partner interest in AAP. We also own a 100% managing member interest in GP LLC, which holds the non-economic general partner interest in AAP. As of March 31, 2024, AAP directly owned a limited partner interest in PAA through its ownership of approximately 232.7 million PAA common units (approximately 30% of PAA’s total outstanding common units and Series A preferred units combined). AAP is the sole member of PAA GP, which holds the non-economic general partner interest in PAA.</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PAA’s business model integrates large-scale supply aggregation capabilities with the ownership and operation of critical midstream infrastructure systems that connect major producing regions to key demand centers and export terminals. As one of the largest midstream service providers in North America, PAA owns an extensive network of pipeline transportation, terminalling, storage and gathering assets in key crude oil and NGL producing basins (including the Permian Basin) and transportation corridors and at major market hubs in the United States and Canada. PAA’s assets and the services it provides are primarily focused on crude oil and NGL.</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Overview of Operating Results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pPr>
      <w:r>
        <w:rPr>
          <w:rFonts w:ascii="Times New Roman;sans-serif" w:hAnsi="Times New Roman;sans-serif"/>
          <w:b w:val="false"/>
          <w:color w:val="000000"/>
          <w:sz w:val="20"/>
          <w:shd w:fill="FFFFFF" w:val="clear"/>
        </w:rPr>
        <w:t xml:space="preserve">During the first three months of 2024, we recognized net income of $336 million compared to $443 million during the first three months of 2023. </w:t>
      </w:r>
      <w:r>
        <w:rPr>
          <w:rFonts w:ascii="Times New Roman;sans-serif" w:hAnsi="Times New Roman;sans-serif"/>
          <w:b w:val="false"/>
          <w:color w:val="000000"/>
          <w:sz w:val="20"/>
        </w:rPr>
        <w:t>Net income for the 2023 period includes favorable impacts from gains on asset sales and the mark-to-market adjustment of the Preferred Distribution Rate Reset Option, contributing to the relative decrease in net income in 2024. For the first quarter of 2024 compared to 2023, more favorable results from our Crude Oil segment were substantially offset by less favorable results from our NGL segment.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See the “Results of Operations” section below for further discussion.</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73bffeb5d0234a1a8b7cd8141a48185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Results of Operations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Consolidated Results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an overview of our consolidated financial results calculated in accordance with GAAP (in millions, except per share data): </w:t>
      </w:r>
    </w:p>
    <w:p>
      <w:pPr>
        <w:pStyle w:val="TextBody"/>
        <w:bidi w:val="0"/>
        <w:spacing w:before="0" w:after="0"/>
        <w:ind w:left="0" w:right="0" w:firstLine="720"/>
        <w:jc w:val="left"/>
        <w:rPr/>
      </w:pPr>
      <w:r>
        <w:rPr/>
      </w:r>
    </w:p>
    <w:tbl>
      <w:tblPr>
        <w:tblW w:w="10205" w:type="dxa"/>
        <w:jc w:val="center"/>
        <w:tblInd w:w="0" w:type="dxa"/>
        <w:tblLayout w:type="fixed"/>
        <w:tblCellMar>
          <w:top w:w="28" w:type="dxa"/>
          <w:left w:w="28" w:type="dxa"/>
          <w:bottom w:w="28" w:type="dxa"/>
          <w:right w:w="28" w:type="dxa"/>
        </w:tblCellMar>
      </w:tblPr>
      <w:tblGrid>
        <w:gridCol w:w="1443"/>
        <w:gridCol w:w="1066"/>
        <w:gridCol w:w="1073"/>
        <w:gridCol w:w="109"/>
        <w:gridCol w:w="109"/>
        <w:gridCol w:w="109"/>
        <w:gridCol w:w="109"/>
        <w:gridCol w:w="109"/>
        <w:gridCol w:w="397"/>
        <w:gridCol w:w="397"/>
        <w:gridCol w:w="398"/>
        <w:gridCol w:w="109"/>
        <w:gridCol w:w="211"/>
        <w:gridCol w:w="721"/>
        <w:gridCol w:w="109"/>
        <w:gridCol w:w="109"/>
        <w:gridCol w:w="109"/>
        <w:gridCol w:w="109"/>
        <w:gridCol w:w="211"/>
        <w:gridCol w:w="721"/>
        <w:gridCol w:w="109"/>
        <w:gridCol w:w="109"/>
        <w:gridCol w:w="109"/>
        <w:gridCol w:w="109"/>
        <w:gridCol w:w="211"/>
        <w:gridCol w:w="560"/>
        <w:gridCol w:w="109"/>
        <w:gridCol w:w="109"/>
        <w:gridCol w:w="109"/>
        <w:gridCol w:w="109"/>
        <w:gridCol w:w="254"/>
        <w:gridCol w:w="260"/>
        <w:gridCol w:w="320"/>
      </w:tblGrid>
      <w:tr>
        <w:trPr/>
        <w:tc>
          <w:tcPr>
            <w:tcW w:w="1443"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3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Variance</w:t>
            </w:r>
          </w:p>
        </w:tc>
        <w:tc>
          <w:tcPr>
            <w:tcW w:w="2368" w:type="dxa"/>
            <w:gridSpan w:val="12"/>
            <w:tcBorders/>
          </w:tcPr>
          <w:p>
            <w:pPr>
              <w:pStyle w:val="TableContents"/>
              <w:bidi w:val="0"/>
              <w:spacing w:before="0" w:after="283"/>
              <w:jc w:val="left"/>
              <w:rPr>
                <w:sz w:val="4"/>
                <w:szCs w:val="4"/>
              </w:rPr>
            </w:pPr>
            <w:r>
              <w:rPr>
                <w:sz w:val="4"/>
                <w:szCs w:val="4"/>
              </w:rPr>
            </w:r>
          </w:p>
        </w:tc>
      </w:tr>
      <w:tr>
        <w:trPr/>
        <w:tc>
          <w:tcPr>
            <w:tcW w:w="358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3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and related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Field operating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8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Gains/(losses) on asset sales,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earnings in unconsolidated entities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r>
      <w:tr>
        <w:trPr/>
        <w:tc>
          <w:tcPr>
            <w:tcW w:w="358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8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3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PAGP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3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net income per Class A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weighted average Class A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ans-serif" w:hAnsi="Times New Roman;sans-serif"/>
          <w:b w:val="false"/>
          <w:color w:val="000000"/>
          <w:sz w:val="13"/>
        </w:rPr>
        <w:t>**    </w:t>
      </w:r>
      <w:r>
        <w:rPr>
          <w:rFonts w:ascii="Times New Roman;sans-serif" w:hAnsi="Times New Roman;sans-serif"/>
          <w:b w:val="false"/>
          <w:color w:val="000000"/>
          <w:sz w:val="20"/>
        </w:rPr>
        <w:t>Indicates that variance as a percentage is not meaningful.</w:t>
      </w:r>
    </w:p>
    <w:p>
      <w:pPr>
        <w:pStyle w:val="TextBody"/>
        <w:bidi w:val="0"/>
        <w:spacing w:before="60" w:after="283"/>
        <w:ind w:left="0" w:right="0" w:hanging="72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Revenues and Purchases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Fluctuations in our consolidated revenues and purchases and related costs are primarily associated with our merchant activities and generally explained in large part by changes in commodity prices. Our crude oil and NGL merchant activities are not directly affected by the absolute level of prices because the commodities that we buy and sell are generally indexed to the same pricing indices. Both product sales revenues and purchases and related costs will fluctuate with market prices; however, the absolute margins related to those sales and purchases will not necessarily have a corresponding increase or decrease. Additionally, product sales revenues include the impact of gains and losses related to derivative instruments used to manage our exposure to commodity price risk associated with such sales and purchases.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majority of our sales and purchases are indexed to the prompt month price of the NYMEX Light, Sweet crude oil futures contract (“NYMEX Price”). The following table presents the range of the NYMEX Price over the last two years (in dollars per barrel):</w:t>
      </w:r>
    </w:p>
    <w:p>
      <w:pPr>
        <w:pStyle w:val="TextBody"/>
        <w:bidi w:val="0"/>
        <w:spacing w:before="0" w:after="0"/>
        <w:ind w:left="0" w:right="0" w:firstLine="720"/>
        <w:jc w:val="left"/>
        <w:rPr/>
      </w:pPr>
      <w:r>
        <w:rPr/>
      </w:r>
    </w:p>
    <w:tbl>
      <w:tblPr>
        <w:tblW w:w="5946" w:type="dxa"/>
        <w:jc w:val="center"/>
        <w:tblInd w:w="0" w:type="dxa"/>
        <w:tblLayout w:type="fixed"/>
        <w:tblCellMar>
          <w:top w:w="28" w:type="dxa"/>
          <w:left w:w="28" w:type="dxa"/>
          <w:bottom w:w="28" w:type="dxa"/>
          <w:right w:w="28" w:type="dxa"/>
        </w:tblCellMar>
      </w:tblPr>
      <w:tblGrid>
        <w:gridCol w:w="1146"/>
        <w:gridCol w:w="1007"/>
        <w:gridCol w:w="1011"/>
        <w:gridCol w:w="211"/>
        <w:gridCol w:w="361"/>
        <w:gridCol w:w="109"/>
        <w:gridCol w:w="109"/>
        <w:gridCol w:w="109"/>
        <w:gridCol w:w="109"/>
        <w:gridCol w:w="211"/>
        <w:gridCol w:w="361"/>
        <w:gridCol w:w="109"/>
        <w:gridCol w:w="109"/>
        <w:gridCol w:w="109"/>
        <w:gridCol w:w="109"/>
        <w:gridCol w:w="222"/>
        <w:gridCol w:w="380"/>
        <w:gridCol w:w="164"/>
      </w:tblGrid>
      <w:tr>
        <w:trPr/>
        <w:tc>
          <w:tcPr>
            <w:tcW w:w="114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NYMEX Price</w:t>
            </w:r>
          </w:p>
        </w:tc>
      </w:tr>
      <w:tr>
        <w:trPr/>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High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w:t>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 2024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 2023</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7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Product sales revenues and purchases for the three months ended March 31, 2024 were relatively in line with product sales revenues and purchases for the three months ended March 31, 2023.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73bffeb5d0234a1a8b7cd8141a48185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Revenues from services increased for the three months ended March 31, 2024 compared to the same period in 2023 primarily due to higher pipeline volumes and tariff escalations, as well as the impact of acquisitions.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See further discussion of our net revenues (revenues less purchases and related costs) in the “—Analysis of Operating Segments” section below.</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Field Operating Costs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See discussion of field operating costs in the “—Analysis of Operating Segments” section below.</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General and Administrative Expenses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general and administrative expenses for the three months ended March 31, 2024 compared to the same period in 2023 was primarily due to (i) higher information systems costs due to ongoing systems integration work and (ii) higher employee-related costs, including an increase in equity-indexed compensation expense (a portion of which is excluded in the calculation of Adjusted EBITDA and Segment Adjusted EBITDA).</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Gains/(Losses) on Asset Sales, Net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net gain on asset sales for the three months ended March 31, 2023 was primarily comprised of a gain of approximately $140 million related to the sale of our Keyera Fort Saskatchewan facility in the first quarter of 2023. See Note 7 to our Consolidated Financial Statements included in Part IV of our 2023 Annual Report on Form 10-K for additional information.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Other Income/(Expense), Net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components impacting Other income/(expense), net (in millions):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587"/>
        <w:gridCol w:w="2246"/>
        <w:gridCol w:w="2259"/>
        <w:gridCol w:w="109"/>
        <w:gridCol w:w="109"/>
        <w:gridCol w:w="109"/>
        <w:gridCol w:w="109"/>
        <w:gridCol w:w="109"/>
        <w:gridCol w:w="165"/>
        <w:gridCol w:w="165"/>
        <w:gridCol w:w="320"/>
        <w:gridCol w:w="652"/>
        <w:gridCol w:w="165"/>
        <w:gridCol w:w="109"/>
        <w:gridCol w:w="109"/>
        <w:gridCol w:w="109"/>
        <w:gridCol w:w="211"/>
        <w:gridCol w:w="406"/>
        <w:gridCol w:w="157"/>
      </w:tblGrid>
      <w:tr>
        <w:trPr/>
        <w:tc>
          <w:tcPr>
            <w:tcW w:w="2587" w:type="dxa"/>
            <w:tcBorders/>
            <w:vAlign w:val="center"/>
          </w:tcPr>
          <w:p>
            <w:pPr>
              <w:pStyle w:val="TableContents"/>
              <w:bidi w:val="0"/>
              <w:spacing w:before="0" w:after="283"/>
              <w:jc w:val="left"/>
              <w:rPr>
                <w:sz w:val="4"/>
                <w:szCs w:val="4"/>
              </w:rPr>
            </w:pPr>
            <w:r>
              <w:rPr>
                <w:sz w:val="4"/>
                <w:szCs w:val="4"/>
              </w:rPr>
            </w:r>
          </w:p>
        </w:tc>
        <w:tc>
          <w:tcPr>
            <w:tcW w:w="2246" w:type="dxa"/>
            <w:tcBorders/>
            <w:vAlign w:val="center"/>
          </w:tcPr>
          <w:p>
            <w:pPr>
              <w:pStyle w:val="TableContents"/>
              <w:bidi w:val="0"/>
              <w:spacing w:before="0" w:after="283"/>
              <w:jc w:val="left"/>
              <w:rPr>
                <w:sz w:val="4"/>
                <w:szCs w:val="4"/>
              </w:rPr>
            </w:pPr>
            <w:r>
              <w:rPr>
                <w:sz w:val="4"/>
                <w:szCs w:val="4"/>
              </w:rPr>
            </w:r>
          </w:p>
        </w:tc>
        <w:tc>
          <w:tcPr>
            <w:tcW w:w="2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7"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101" w:type="dxa"/>
            <w:gridSpan w:val="6"/>
            <w:tcBorders/>
          </w:tcPr>
          <w:p>
            <w:pPr>
              <w:pStyle w:val="TableContents"/>
              <w:bidi w:val="0"/>
              <w:spacing w:before="0" w:after="283"/>
              <w:jc w:val="left"/>
              <w:rPr>
                <w:sz w:val="4"/>
                <w:szCs w:val="4"/>
              </w:rPr>
            </w:pPr>
            <w:r>
              <w:rPr>
                <w:sz w:val="4"/>
                <w:szCs w:val="4"/>
              </w:rPr>
            </w:r>
          </w:p>
        </w:tc>
      </w:tr>
      <w:tr>
        <w:trPr/>
        <w:tc>
          <w:tcPr>
            <w:tcW w:w="70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70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Net loss on foreign currency revaluation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Gain on mark-to-market adjustment of Preferred Distribution Rate Reset Option embedded derivative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The activity during the periods presented was primarily related to the impact from the change in the USD to CAD exchange rate on the portion of our intercompany net investment that is not long-term in nature.</w:t>
      </w:r>
    </w:p>
    <w:p>
      <w:pPr>
        <w:pStyle w:val="TextBody"/>
        <w:bidi w:val="0"/>
        <w:spacing w:lineRule="auto" w:line="288" w:before="60" w:after="283"/>
        <w:ind w:left="0" w:right="0" w:hanging="72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See Note 7 to our Condensed Consolidated Financial Statements for additional information.</w:t>
      </w:r>
    </w:p>
    <w:p>
      <w:pPr>
        <w:pStyle w:val="TextBody"/>
        <w:bidi w:val="0"/>
        <w:spacing w:before="0" w:after="0"/>
        <w:ind w:left="0" w:right="0" w:hanging="36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Income Tax (Expense)/Benefit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net favorable income tax variance for the three months ended March 31, 2024 compared to the same period in 2023 was primarily due to the tax impact of (i) the Keyera Fort Saskatchewan divestiture in the first quarter of 2023, (ii) lower year-over-year income within our Canadian operations and (iii) lower earnings at PAA on income attributable to PAGP.</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73bffeb5d0234a1a8b7cd8141a48185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283"/>
        <w:jc w:val="left"/>
        <w:rPr>
          <w:rFonts w:ascii="Times New Roman;sans-serif" w:hAnsi="Times New Roman;sans-serif"/>
          <w:b/>
          <w:i/>
          <w:color w:val="000000"/>
          <w:sz w:val="20"/>
        </w:rPr>
      </w:pPr>
      <w:r>
        <w:rPr>
          <w:rFonts w:ascii="Times New Roman;sans-serif" w:hAnsi="Times New Roman;sans-serif"/>
          <w:b/>
          <w:i/>
          <w:color w:val="000000"/>
          <w:sz w:val="20"/>
        </w:rPr>
        <w:t>Non-GAAP Financial Measures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To supplement our financial information presented in accordance with GAAP, management uses additional measures known as “non-GAAP financial measures” in its evaluation of past performance and prospects for the future. The primary additional measures used by management are Adjusted EBITDA and Adjusted EBITDA attributable to PAA.</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definition and calculation of certain non-GAAP financial measures may not be comparable to similarly-titled measures of other companies. Adjusted EBITDA and Adjusted EBITDA attributable to PAA are reconciled to Net Income, the most directly comparable measures as reported in accordance with GAAP, and should be viewed in addition to, and not in lieu of, our Condensed Consolidated Financial Statements and accompanying notes.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Non-GAAP Financial Performance Measures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 is defined as earnings before interest expense, income taxes, depreciation and amortization (including our proportionate share of depreciation and amortization, including write-downs related to cancelled projects and impairments, of unconsolidated entities), gains and losses on asset sales and gains or losses on investments in unconsolidated entities, adjusted for certain selected items impacting comparability. Adjusted EBITDA attributable to PAA excludes the portion of Adjusted EBITDA that is attributable to noncontrolling interests in consolidated joint venture entities.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Management believes that the presentation of such additional financial measures provides useful information to investors regarding our performance and results of operations because these measures, when used to supplement related GAAP financial measures, (i) provide additional information about our core operating performance, (ii) provide investors with the same financial analytical framework upon which management bases financial, operational, compensation and planning/budgeting decisions and (iii) present measures that investors, rating agencies and debt holders have indicated are useful in assessing us and our results of operations. These non-GAAP measures may exclude, for example, (i) charges for obligations that are expected to be settled with the issuance of equity instruments, (ii) gains and losses on derivative instruments that are related to underlying activities in another period (or the reversal of such adjustments from a prior period), gains and losses on derivatives that are either related to investing activities (such as the purchase of linefill) or purchases of long-term inventory, and inventory valuation adjustments, as applicable, (iii) long-term inventory costing adjustments, (iv) items that are not indicative of our core operating results and/or (v) other items that we believe should be excluded in understanding our core operating performance. These measures may further be adjusted to include amounts related to deficiencies associated with minimum volume commitments whereby we have billed the counterparties for their deficiency obligation and such amounts are recognized as deferred revenue in “Other current liabilities” in our Condensed Consolidated Financial Statements. We also adjust for amounts billed by our equity method investees related to deficiencies under minimum volume commitments. Such amounts are presented net of applicable amounts subsequently recognized into revenue. We have defined all such items as “selected items impacting comparability.”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divestitures, investment capital projects and numerous other factors as discussed, as applicable, in “—Analysis of Operating Segments.”</w:t>
      </w:r>
    </w:p>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73bffeb5d0234a1a8b7cd8141a48185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reconciliation of the non-GAAP financial performance measures Adjusted EBITDA and Adjusted EBITDA attributable to PAA to Net Income (in millions):</w:t>
      </w:r>
    </w:p>
    <w:p>
      <w:pPr>
        <w:pStyle w:val="TextBody"/>
        <w:bidi w:val="0"/>
        <w:spacing w:before="0" w:after="0"/>
        <w:ind w:left="0" w:right="0" w:firstLine="720"/>
        <w:jc w:val="left"/>
        <w:rPr/>
      </w:pPr>
      <w:r>
        <w:rPr/>
      </w:r>
    </w:p>
    <w:tbl>
      <w:tblPr>
        <w:tblW w:w="10205" w:type="dxa"/>
        <w:jc w:val="center"/>
        <w:tblInd w:w="0" w:type="dxa"/>
        <w:tblLayout w:type="fixed"/>
        <w:tblCellMar>
          <w:top w:w="28" w:type="dxa"/>
          <w:left w:w="28" w:type="dxa"/>
          <w:bottom w:w="28" w:type="dxa"/>
          <w:right w:w="28" w:type="dxa"/>
        </w:tblCellMar>
      </w:tblPr>
      <w:tblGrid>
        <w:gridCol w:w="1713"/>
        <w:gridCol w:w="1152"/>
        <w:gridCol w:w="1161"/>
        <w:gridCol w:w="109"/>
        <w:gridCol w:w="109"/>
        <w:gridCol w:w="109"/>
        <w:gridCol w:w="109"/>
        <w:gridCol w:w="109"/>
        <w:gridCol w:w="109"/>
        <w:gridCol w:w="109"/>
        <w:gridCol w:w="109"/>
        <w:gridCol w:w="345"/>
        <w:gridCol w:w="345"/>
        <w:gridCol w:w="346"/>
        <w:gridCol w:w="109"/>
        <w:gridCol w:w="211"/>
        <w:gridCol w:w="466"/>
        <w:gridCol w:w="109"/>
        <w:gridCol w:w="109"/>
        <w:gridCol w:w="109"/>
        <w:gridCol w:w="109"/>
        <w:gridCol w:w="211"/>
        <w:gridCol w:w="466"/>
        <w:gridCol w:w="109"/>
        <w:gridCol w:w="109"/>
        <w:gridCol w:w="109"/>
        <w:gridCol w:w="109"/>
        <w:gridCol w:w="211"/>
        <w:gridCol w:w="505"/>
        <w:gridCol w:w="109"/>
        <w:gridCol w:w="109"/>
        <w:gridCol w:w="109"/>
        <w:gridCol w:w="109"/>
        <w:gridCol w:w="233"/>
        <w:gridCol w:w="233"/>
        <w:gridCol w:w="318"/>
      </w:tblGrid>
      <w:tr>
        <w:trPr/>
        <w:tc>
          <w:tcPr>
            <w:tcW w:w="1713"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4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Variance</w:t>
            </w:r>
          </w:p>
        </w:tc>
        <w:tc>
          <w:tcPr>
            <w:tcW w:w="2263" w:type="dxa"/>
            <w:gridSpan w:val="12"/>
            <w:tcBorders/>
          </w:tcPr>
          <w:p>
            <w:pPr>
              <w:pStyle w:val="TableContents"/>
              <w:bidi w:val="0"/>
              <w:spacing w:before="0" w:after="283"/>
              <w:jc w:val="left"/>
              <w:rPr>
                <w:sz w:val="4"/>
                <w:szCs w:val="4"/>
              </w:rPr>
            </w:pPr>
            <w:r>
              <w:rPr>
                <w:sz w:val="4"/>
                <w:szCs w:val="4"/>
              </w:rPr>
            </w:r>
          </w:p>
        </w:tc>
      </w:tr>
      <w:tr>
        <w:trPr/>
        <w:tc>
          <w:tcPr>
            <w:tcW w:w="40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4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2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2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2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16"/>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2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(Gains)/losses on asset sales,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r>
      <w:tr>
        <w:trPr/>
        <w:tc>
          <w:tcPr>
            <w:tcW w:w="402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Depreciation and amortization of unconsolidated entities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2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Unallocated general and administrative expenses</w:t>
            </w:r>
            <w:r>
              <w:rPr>
                <w:color w:val="000000"/>
              </w:rPr>
              <w:t xml:space="preserve"> </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Selected Items Impacting Comparability: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16"/>
              <w:jc w:val="left"/>
              <w:rPr/>
            </w:pPr>
            <w:r>
              <w:rPr>
                <w:rFonts w:ascii="Times New Roman;sans-serif" w:hAnsi="Times New Roman;sans-serif"/>
                <w:b w:val="false"/>
                <w:color w:val="000000"/>
                <w:sz w:val="20"/>
              </w:rPr>
              <w:t>Derivative activities and inventory valuation adjustments</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inventory costing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Deficiencies under minimum volume commitments,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Equity-indexed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2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16"/>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revaluation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r>
      <w:tr>
        <w:trPr/>
        <w:tc>
          <w:tcPr>
            <w:tcW w:w="4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r>
      <w:tr>
        <w:trPr/>
        <w:tc>
          <w:tcPr>
            <w:tcW w:w="402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Selected Items Impacting Comparability - Segment Adjusted EBITDA </w:t>
            </w:r>
            <w:r>
              <w:rPr>
                <w:rFonts w:ascii="Times New Roman;sans-serif" w:hAnsi="Times New Roman;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2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16"/>
              <w:jc w:val="left"/>
              <w:rPr/>
            </w:pPr>
            <w:r>
              <w:rPr>
                <w:rFonts w:ascii="Times New Roman;sans-serif" w:hAnsi="Times New Roman;sans-serif"/>
                <w:b w:val="false"/>
                <w:color w:val="000000"/>
                <w:sz w:val="20"/>
              </w:rPr>
              <w:t xml:space="preserve">Mark-to-market adjustment of Preferred Distribution Rate Reset Option embedded derivative </w:t>
            </w:r>
            <w:r>
              <w:rPr>
                <w:rFonts w:ascii="Times New Roman;sans-serif" w:hAnsi="Times New Roman;sans-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2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16"/>
              <w:jc w:val="left"/>
              <w:rPr/>
            </w:pPr>
            <w:r>
              <w:rPr>
                <w:rFonts w:ascii="Times New Roman;sans-serif" w:hAnsi="Times New Roman;sans-serif"/>
                <w:b w:val="false"/>
                <w:color w:val="000000"/>
                <w:sz w:val="20"/>
              </w:rPr>
              <w:t xml:space="preserve">Foreign currency revaluation </w:t>
            </w:r>
            <w:r>
              <w:rPr>
                <w:rFonts w:ascii="Times New Roman;sans-serif" w:hAnsi="Times New Roman;sans-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r>
      <w:tr>
        <w:trPr/>
        <w:tc>
          <w:tcPr>
            <w:tcW w:w="402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Selected Items Impacting Comparability - Adjusted EBITDA </w:t>
            </w:r>
            <w:r>
              <w:rPr>
                <w:rFonts w:ascii="Times New Roman;sans-serif" w:hAnsi="Times New Roman;sans-serif"/>
                <w:b w:val="false"/>
                <w:color w:val="000000"/>
                <w:sz w:val="13"/>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2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Adjusted EBITDA </w:t>
            </w:r>
            <w:r>
              <w:rPr>
                <w:rFonts w:ascii="Times New Roman;sans-serif" w:hAnsi="Times New Roman;sans-serif"/>
                <w:b w:val="false"/>
                <w:color w:val="000000"/>
                <w:sz w:val="13"/>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2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Adjusted EBITDA attributable to noncontrolling interests in consolidated joint ventures </w:t>
            </w:r>
            <w:r>
              <w:rPr>
                <w:rFonts w:ascii="Times New Roman;sans-serif" w:hAnsi="Times New Roman;sans-serif"/>
                <w:b w:val="false"/>
                <w:color w:val="000000"/>
                <w:sz w:val="13"/>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 attributable to PAA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ans-serif" w:hAnsi="Times New Roman;sans-serif"/>
          <w:b w:val="false"/>
          <w:color w:val="000000"/>
          <w:sz w:val="13"/>
        </w:rPr>
        <w:t>**    </w:t>
      </w:r>
      <w:r>
        <w:rPr>
          <w:rFonts w:ascii="Times New Roman;sans-serif" w:hAnsi="Times New Roman;sans-serif"/>
          <w:b w:val="false"/>
          <w:color w:val="000000"/>
          <w:sz w:val="20"/>
        </w:rPr>
        <w:t>Indicates that variance as a percentage is not meaningful.</w:t>
      </w:r>
    </w:p>
    <w:p>
      <w:pPr>
        <w:pStyle w:val="TextBody"/>
        <w:bidi w:val="0"/>
        <w:spacing w:lineRule="auto" w:line="288" w:before="60" w:after="120"/>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We exclude our proportionate share of the depreciation and amortization expense (including write-downs related to cancelled projects and impairments) of unconsolidated entities when reviewing Adjusted EBITDA, similar to our consolidated assets.</w:t>
      </w:r>
    </w:p>
    <w:p>
      <w:pPr>
        <w:pStyle w:val="TextBody"/>
        <w:bidi w:val="0"/>
        <w:spacing w:lineRule="auto" w:line="288" w:before="60" w:after="120"/>
        <w:ind w:left="0" w:right="0" w:hanging="72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Represents general and administrative expenses incremental to those of PAA, which are not allocated to our reporting segments in determining Segment Adjusted EBITDA and are excluded in the non-GAAP financial performance measures utilized by management.</w:t>
      </w:r>
    </w:p>
    <w:p>
      <w:pPr>
        <w:pStyle w:val="TextBody"/>
        <w:bidi w:val="0"/>
        <w:spacing w:lineRule="auto" w:line="288" w:before="60" w:after="120"/>
        <w:ind w:left="0" w:right="0" w:hanging="720"/>
        <w:jc w:val="left"/>
        <w:rPr/>
      </w:pPr>
      <w:r>
        <w:rPr>
          <w:rFonts w:ascii="Times New Roman;sans-serif" w:hAnsi="Times New Roman;sans-serif"/>
          <w:b w:val="false"/>
          <w:color w:val="000000"/>
          <w:sz w:val="13"/>
        </w:rPr>
        <w:t>(3)</w:t>
      </w:r>
      <w:r>
        <w:rPr>
          <w:rFonts w:ascii="Times New Roman;sans-serif" w:hAnsi="Times New Roman;sans-serif"/>
          <w:b w:val="false"/>
          <w:color w:val="000000"/>
          <w:sz w:val="20"/>
        </w:rPr>
        <w:t>For a more detailed discussion of these selected items impacting comparability, see the footnotes to the Segment Adjusted EBITDA Reconciliation table in Note 10 to our Condensed Consolidated Financial Statements.</w:t>
      </w:r>
    </w:p>
    <w:p>
      <w:pPr>
        <w:pStyle w:val="TextBody"/>
        <w:bidi w:val="0"/>
        <w:spacing w:lineRule="auto" w:line="288" w:before="60" w:after="120"/>
        <w:ind w:left="0" w:right="0" w:hanging="720"/>
        <w:jc w:val="left"/>
        <w:rPr/>
      </w:pPr>
      <w:r>
        <w:rPr>
          <w:rFonts w:ascii="Times New Roman;sans-serif" w:hAnsi="Times New Roman;sans-serif"/>
          <w:b w:val="false"/>
          <w:color w:val="000000"/>
          <w:sz w:val="13"/>
        </w:rPr>
        <w:t>(4)</w:t>
      </w:r>
      <w:r>
        <w:rPr>
          <w:rFonts w:ascii="Times New Roman;sans-serif" w:hAnsi="Times New Roman;sans-serif"/>
          <w:b w:val="false"/>
          <w:color w:val="000000"/>
          <w:sz w:val="20"/>
        </w:rPr>
        <w:t>The Preferred Distribution Rate Reset Option of PAA’s Series A preferred units was accounted for as an embedded derivative and recorded at fair value in our Condensed Consolidated Financial Statements. The associated gains and losses are not integral to our results and were thus classified as a selected item impacting comparability. See Note 7 to our Condensed Consolidated Financial Statements for additional information regarding the Preferred Distribution Rate Reset Option.</w:t>
      </w:r>
    </w:p>
    <w:p>
      <w:pPr>
        <w:pStyle w:val="TextBody"/>
        <w:bidi w:val="0"/>
        <w:spacing w:lineRule="auto" w:line="288" w:before="60" w:after="120"/>
        <w:ind w:left="0" w:right="0" w:hanging="720"/>
        <w:jc w:val="left"/>
        <w:rPr/>
      </w:pPr>
      <w:r>
        <w:rPr>
          <w:rFonts w:ascii="Times New Roman;sans-serif" w:hAnsi="Times New Roman;sans-serif"/>
          <w:b w:val="false"/>
          <w:color w:val="000000"/>
          <w:sz w:val="13"/>
        </w:rPr>
        <w:t>(5)</w:t>
      </w:r>
      <w:r>
        <w:rPr>
          <w:rFonts w:ascii="Times New Roman;sans-serif" w:hAnsi="Times New Roman;sans-serif"/>
          <w:b w:val="false"/>
          <w:color w:val="000000"/>
          <w:sz w:val="20"/>
        </w:rPr>
        <w:t>During the periods presented, there were fluctuations in the value of CAD to USD, resulting in the realization of foreign exchange gains and losses on the settlement of foreign currency transactions as well as the revaluation of monetary assets and liabilities denominated in a foreign currency. The associated gains and losses are not integral to our results and were thus classified as a selected item impacting comparability.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73bffeb5d0234a1a8b7cd8141a48185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120"/>
        <w:ind w:left="0" w:right="0" w:hanging="720"/>
        <w:jc w:val="left"/>
        <w:rPr/>
      </w:pPr>
      <w:r>
        <w:rPr>
          <w:rFonts w:ascii="Times New Roman;sans-serif" w:hAnsi="Times New Roman;sans-serif"/>
          <w:b w:val="false"/>
          <w:color w:val="000000"/>
          <w:sz w:val="13"/>
        </w:rPr>
        <w:t>(6)</w:t>
      </w:r>
      <w:r>
        <w:rPr>
          <w:rFonts w:ascii="Times New Roman;sans-serif" w:hAnsi="Times New Roman;sans-serif"/>
          <w:b w:val="false"/>
          <w:color w:val="000000"/>
          <w:sz w:val="20"/>
        </w:rPr>
        <w:t>Other income/(expense), net on our Condensed Consolidated Statements of Operations, adjusted for selected items impacting comparability (“Adjusted other income/(expense), net”) is included in Adjusted EBITDA and excluded from Segment Adjusted EBITDA.</w:t>
      </w:r>
    </w:p>
    <w:p>
      <w:pPr>
        <w:pStyle w:val="TextBody"/>
        <w:bidi w:val="0"/>
        <w:spacing w:lineRule="auto" w:line="288" w:before="60" w:after="283"/>
        <w:ind w:left="0" w:right="0" w:hanging="720"/>
        <w:jc w:val="left"/>
        <w:rPr/>
      </w:pPr>
      <w:r>
        <w:rPr>
          <w:rFonts w:ascii="Times New Roman;sans-serif" w:hAnsi="Times New Roman;sans-serif"/>
          <w:b w:val="false"/>
          <w:color w:val="000000"/>
          <w:sz w:val="13"/>
        </w:rPr>
        <w:t>(7)</w:t>
      </w:r>
      <w:r>
        <w:rPr>
          <w:rFonts w:ascii="Times New Roman;sans-serif" w:hAnsi="Times New Roman;sans-serif"/>
          <w:b w:val="false"/>
          <w:color w:val="000000"/>
          <w:sz w:val="20"/>
        </w:rPr>
        <w:t>Reflects amounts attributable to noncontrolling interests in the Permian JV, Cactus II and Red River.</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Analysis of Operating Segments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manage our operations through two operating segments: Crude Oil and NGL. Our CODM (our Chief Executive Officer) evaluates segment performance based on a variety of measures including Segment Adjusted EBITDA, segment volumes and maintenance capital investment. See Note 10 to our Condensed Consolidated Financial Statements for our definition of Segment Adjusted EBITDA and a reconciliation of Segment Adjusted EBITDA to Net income attributable to PAGP. See Note 19 to our Consolidated Financial Statements included in Part IV of our 2023 Annual Report on Form 10-K for our definition of maintenance capital.</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Crude Oil Segment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Crude Oil segment operations generally consist of gathering and transporting crude oil using pipelines, gathering systems, trucks and, at times, on barges or railcars, in addition to providing terminalling, storage and other related services utilizing our integrated assets across the United States and Canada. Our assets serve third parties and are also supported by our merchant activities. Our merchant activities include the purchase of crude oil supply and the movement of this supply on our assets or third-party assets to sales locations, including our terminals, third-party connecting carriers, regional hubs or to refineries. Our merchant activities are subject to our risk management policies and may include the use of derivative instruments to manage exposure to commodity price risk and, at times, to provide upside opportunities.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Crude Oil segment generates revenue through a combination of tariffs, pipeline capacity agreements and other transportation fees, month-to-month and multi-year storage and terminalling agreements and the sale of gathered and bulk-purchased crude oil. Tariffs and other fees on our pipeline systems are typically based on volumes transported and vary by receipt point and delivery point. Fees for our terminalling and storage services are based on capacity leases and throughput volumes. Generally, results from our merchant activities are impacted by (i) increases or decreases in our lease gathering crude oil purchases volumes and (ii) volatility in commodity price differentials, particularly grade and location differentials, as well as time spreads. The segment results also include the direct fixed and variable field costs of operating the crude oil assets, as well as an allocation of indirect operating costs. </w:t>
      </w:r>
    </w:p>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73bffeb5d0234a1a8b7cd8141a48185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our operating results from our Crude Oil segment:</w:t>
      </w:r>
    </w:p>
    <w:p>
      <w:pPr>
        <w:pStyle w:val="TextBody"/>
        <w:bidi w:val="0"/>
        <w:spacing w:before="0" w:after="0"/>
        <w:jc w:val="left"/>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326"/>
        <w:gridCol w:w="1166"/>
        <w:gridCol w:w="1168"/>
        <w:gridCol w:w="109"/>
        <w:gridCol w:w="109"/>
        <w:gridCol w:w="109"/>
        <w:gridCol w:w="109"/>
        <w:gridCol w:w="109"/>
        <w:gridCol w:w="109"/>
        <w:gridCol w:w="109"/>
        <w:gridCol w:w="109"/>
        <w:gridCol w:w="332"/>
        <w:gridCol w:w="332"/>
        <w:gridCol w:w="333"/>
        <w:gridCol w:w="109"/>
        <w:gridCol w:w="211"/>
        <w:gridCol w:w="721"/>
        <w:gridCol w:w="109"/>
        <w:gridCol w:w="109"/>
        <w:gridCol w:w="109"/>
        <w:gridCol w:w="109"/>
        <w:gridCol w:w="211"/>
        <w:gridCol w:w="721"/>
        <w:gridCol w:w="109"/>
        <w:gridCol w:w="109"/>
        <w:gridCol w:w="109"/>
        <w:gridCol w:w="109"/>
        <w:gridCol w:w="211"/>
        <w:gridCol w:w="503"/>
        <w:gridCol w:w="109"/>
        <w:gridCol w:w="109"/>
        <w:gridCol w:w="109"/>
        <w:gridCol w:w="109"/>
        <w:gridCol w:w="179"/>
        <w:gridCol w:w="182"/>
        <w:gridCol w:w="320"/>
      </w:tblGrid>
      <w:tr>
        <w:trPr/>
        <w:tc>
          <w:tcPr>
            <w:tcW w:w="1326"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6"/>
              </w:rPr>
              <w:t>Operating Results</w:t>
            </w:r>
            <w:r>
              <w:rPr>
                <w:color w:val="000000"/>
              </w:rPr>
              <w:t> </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Variance</w:t>
            </w:r>
          </w:p>
        </w:tc>
        <w:tc>
          <w:tcPr>
            <w:tcW w:w="2158" w:type="dxa"/>
            <w:gridSpan w:val="12"/>
            <w:tcBorders/>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36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and related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Field operating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Segment general and administrative expenses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earnings in unconsolidated entities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Adjustments </w:t>
            </w:r>
            <w:r>
              <w:rPr>
                <w:rFonts w:ascii="Times New Roman;sans-serif" w:hAnsi="Times New Roman;sans-serif"/>
                <w:b w:val="false"/>
                <w:color w:val="000000"/>
                <w:sz w:val="13"/>
              </w:rPr>
              <w:t>(3)</w:t>
            </w: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of unconsolidated entities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Derivative activities and inventory valuation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Long-term inventory costing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Deficiencies under minimum volume commitments,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Equity-indexed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revaluation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Segment amounts attributable to noncontrolling interests in consolidated joint ventures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Maintenance capital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32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168" w:type="dxa"/>
        <w:jc w:val="center"/>
        <w:tblInd w:w="0" w:type="dxa"/>
        <w:tblLayout w:type="fixed"/>
        <w:tblCellMar>
          <w:top w:w="28" w:type="dxa"/>
          <w:left w:w="28" w:type="dxa"/>
          <w:bottom w:w="28" w:type="dxa"/>
          <w:right w:w="28" w:type="dxa"/>
        </w:tblCellMar>
      </w:tblPr>
      <w:tblGrid>
        <w:gridCol w:w="1307"/>
        <w:gridCol w:w="1149"/>
        <w:gridCol w:w="1159"/>
        <w:gridCol w:w="109"/>
        <w:gridCol w:w="109"/>
        <w:gridCol w:w="109"/>
        <w:gridCol w:w="109"/>
        <w:gridCol w:w="109"/>
        <w:gridCol w:w="109"/>
        <w:gridCol w:w="109"/>
        <w:gridCol w:w="109"/>
        <w:gridCol w:w="534"/>
        <w:gridCol w:w="534"/>
        <w:gridCol w:w="536"/>
        <w:gridCol w:w="109"/>
        <w:gridCol w:w="308"/>
        <w:gridCol w:w="308"/>
        <w:gridCol w:w="156"/>
        <w:gridCol w:w="109"/>
        <w:gridCol w:w="109"/>
        <w:gridCol w:w="109"/>
        <w:gridCol w:w="308"/>
        <w:gridCol w:w="308"/>
        <w:gridCol w:w="156"/>
        <w:gridCol w:w="109"/>
        <w:gridCol w:w="109"/>
        <w:gridCol w:w="109"/>
        <w:gridCol w:w="240"/>
        <w:gridCol w:w="240"/>
        <w:gridCol w:w="241"/>
        <w:gridCol w:w="109"/>
        <w:gridCol w:w="109"/>
        <w:gridCol w:w="109"/>
        <w:gridCol w:w="203"/>
        <w:gridCol w:w="203"/>
        <w:gridCol w:w="316"/>
      </w:tblGrid>
      <w:tr>
        <w:trPr/>
        <w:tc>
          <w:tcPr>
            <w:tcW w:w="1307"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Variance</w:t>
            </w:r>
          </w:p>
        </w:tc>
        <w:tc>
          <w:tcPr>
            <w:tcW w:w="2097" w:type="dxa"/>
            <w:gridSpan w:val="12"/>
            <w:tcBorders/>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Average Volumes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Volumes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Crude oil pipeline tariff (by region)</w:t>
            </w:r>
            <w:r>
              <w:rPr>
                <w:color w:val="000000"/>
              </w:rPr>
              <w:t xml:space="preserve"> </w:t>
            </w:r>
            <w:r>
              <w:rPr>
                <w:rFonts w:ascii="Times New Roman;sans-serif" w:hAnsi="Times New Roman;sans-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Permian Basin </w:t>
            </w:r>
            <w:r>
              <w:rPr>
                <w:rFonts w:ascii="Times New Roman;sans-serif" w:hAnsi="Times New Roman;sans-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w:t>
            </w:r>
            <w:r>
              <w:rPr>
                <w:color w:val="000000"/>
              </w:rPr>
              <w:t xml:space="preserve"> </w:t>
            </w:r>
            <w:r>
              <w:rPr>
                <w:rFonts w:ascii="Times New Roman;sans-serif" w:hAnsi="Times New Roman;sans-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crude oil pipeline tariff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Commercial crude oil storage capacity </w:t>
            </w:r>
            <w:r>
              <w:rPr>
                <w:rFonts w:ascii="Times New Roman;sans-serif" w:hAnsi="Times New Roman;sans-serif"/>
                <w:b w:val="false"/>
                <w:color w:val="000000"/>
                <w:sz w:val="13"/>
              </w:rPr>
              <w:t>(5)(6)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Crude oil lease gathering purchases </w:t>
            </w:r>
            <w:r>
              <w:rPr>
                <w:rFonts w:ascii="Times New Roman;sans-serif" w:hAnsi="Times New Roman;sans-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ind w:left="0" w:right="0" w:hanging="720"/>
        <w:jc w:val="left"/>
        <w:rPr/>
      </w:pPr>
      <w:r>
        <w:rPr>
          <w:rFonts w:ascii="Times New Roman;sans-serif" w:hAnsi="Times New Roman;sans-serif"/>
          <w:b w:val="false"/>
          <w:color w:val="000000"/>
          <w:sz w:val="13"/>
        </w:rPr>
        <w:t>**    </w:t>
      </w:r>
      <w:r>
        <w:rPr>
          <w:rFonts w:ascii="Times New Roman;sans-serif" w:hAnsi="Times New Roman;sans-serif"/>
          <w:b w:val="false"/>
          <w:color w:val="000000"/>
          <w:sz w:val="20"/>
        </w:rPr>
        <w:t>Indicates that variance as a percentage is not meaningful.</w:t>
      </w:r>
    </w:p>
    <w:p>
      <w:pPr>
        <w:pStyle w:val="TextBody"/>
        <w:bidi w:val="0"/>
        <w:spacing w:lineRule="auto" w:line="288" w:before="60" w:after="120"/>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Revenues and costs and expenses include intersegment amounts. </w:t>
      </w:r>
    </w:p>
    <w:p>
      <w:pPr>
        <w:pStyle w:val="TextBody"/>
        <w:bidi w:val="0"/>
        <w:spacing w:lineRule="auto" w:line="288" w:before="0" w:after="120"/>
        <w:ind w:left="0" w:right="0" w:hanging="72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pStyle w:val="TextBody"/>
        <w:bidi w:val="0"/>
        <w:spacing w:lineRule="auto" w:line="288" w:before="0" w:after="120"/>
        <w:ind w:left="0" w:right="0" w:hanging="720"/>
        <w:jc w:val="left"/>
        <w:rPr/>
      </w:pPr>
      <w:r>
        <w:rPr>
          <w:rFonts w:ascii="Times New Roman;sans-serif" w:hAnsi="Times New Roman;sans-serif"/>
          <w:b w:val="false"/>
          <w:color w:val="000000"/>
          <w:sz w:val="13"/>
        </w:rPr>
        <w:t>(3)</w:t>
      </w:r>
      <w:r>
        <w:rPr>
          <w:rFonts w:ascii="Times New Roman;sans-serif" w:hAnsi="Times New Roman;sans-serif"/>
          <w:b w:val="false"/>
          <w:color w:val="000000"/>
          <w:sz w:val="20"/>
        </w:rPr>
        <w:t>Represents adjustments included in the performance measure utilized by our CODM in the evaluation of segment results. See Note 10 to our Condensed Consolidated Financial Statements for additional discussion of such adjustments.</w:t>
      </w:r>
    </w:p>
    <w:p>
      <w:pPr>
        <w:pStyle w:val="TextBody"/>
        <w:bidi w:val="0"/>
        <w:spacing w:lineRule="auto" w:line="288" w:before="0" w:after="120"/>
        <w:ind w:left="0" w:right="0" w:hanging="720"/>
        <w:jc w:val="left"/>
        <w:rPr/>
      </w:pPr>
      <w:r>
        <w:rPr>
          <w:rFonts w:ascii="Times New Roman;sans-serif" w:hAnsi="Times New Roman;sans-serif"/>
          <w:b w:val="false"/>
          <w:color w:val="000000"/>
          <w:sz w:val="13"/>
        </w:rPr>
        <w:t>(4)</w:t>
      </w:r>
      <w:r>
        <w:rPr>
          <w:rFonts w:ascii="Times New Roman;sans-serif" w:hAnsi="Times New Roman;sans-serif"/>
          <w:b w:val="false"/>
          <w:color w:val="000000"/>
          <w:sz w:val="20"/>
        </w:rPr>
        <w:t>Average daily volumes in thousands of barrels per day calculated as the total volumes (attributable to our interest for assets owned by unconsolidated entities or through undivided joint interests) for the period divided by the number of days in the period. Volumes associated with acquisitions represent total volumes for the number of days we actually owned the assets divided by the number of days in the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73bffeb5d0234a1a8b7cd8141a48185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ind w:left="0" w:right="0" w:hanging="720"/>
        <w:jc w:val="left"/>
        <w:rPr/>
      </w:pPr>
      <w:r>
        <w:rPr>
          <w:rFonts w:ascii="Times New Roman;sans-serif" w:hAnsi="Times New Roman;sans-serif"/>
          <w:b w:val="false"/>
          <w:color w:val="000000"/>
          <w:sz w:val="13"/>
        </w:rPr>
        <w:t>(5)</w:t>
      </w:r>
      <w:r>
        <w:rPr>
          <w:rFonts w:ascii="Times New Roman;sans-serif" w:hAnsi="Times New Roman;sans-serif"/>
          <w:b w:val="false"/>
          <w:color w:val="000000"/>
          <w:sz w:val="20"/>
        </w:rPr>
        <w:t>Includes volumes (attributable to our interest) from assets owned by unconsolidated entities.</w:t>
      </w:r>
    </w:p>
    <w:p>
      <w:pPr>
        <w:pStyle w:val="TextBody"/>
        <w:bidi w:val="0"/>
        <w:spacing w:lineRule="auto" w:line="288" w:before="0" w:after="0"/>
        <w:ind w:left="0" w:right="0" w:hanging="720"/>
        <w:jc w:val="left"/>
        <w:rPr/>
      </w:pPr>
      <w:r>
        <w:rPr>
          <w:rFonts w:ascii="Times New Roman;sans-serif" w:hAnsi="Times New Roman;sans-serif"/>
          <w:b w:val="false"/>
          <w:color w:val="000000"/>
          <w:sz w:val="13"/>
        </w:rPr>
        <w:t>(6)</w:t>
      </w:r>
      <w:r>
        <w:rPr>
          <w:rFonts w:ascii="Times New Roman;sans-serif" w:hAnsi="Times New Roman;sans-serif"/>
          <w:b w:val="false"/>
          <w:color w:val="000000"/>
          <w:sz w:val="20"/>
        </w:rPr>
        <w:t>Average monthly capacity in millions of barrels per day calculated as total volumes for the period divided by the number of months in the period.</w:t>
      </w:r>
    </w:p>
    <w:p>
      <w:pPr>
        <w:pStyle w:val="TextBody"/>
        <w:bidi w:val="0"/>
        <w:spacing w:before="0" w:after="0"/>
        <w:ind w:left="0" w:right="0" w:hanging="36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Segment Adjusted EBITDA</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Crude Oil Segment Adjusted EBITDA increased for the three months ended March 31, 2024 compared to the same period in 2023 primarily due to higher tariff volumes on our pipelines, tariff escalations and contributions from acquisitions, partially offset by fewer market-based opportunities.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more detailed discussion of the significant factors impacting Segment Adjusted EBITDA for the three months ended March 31, 2024 compared to the same period in 2023.</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 xml:space="preserve">Net Revenues and Equity Earnings. </w:t>
      </w:r>
      <w:r>
        <w:rPr>
          <w:rFonts w:ascii="Times New Roman;sans-serif" w:hAnsi="Times New Roman;sans-serif"/>
          <w:b w:val="false"/>
          <w:color w:val="000000"/>
          <w:sz w:val="20"/>
        </w:rPr>
        <w:t>Our results were favorably impacted by (i) higher volumes across our pipeline systems driven by increased production as well as increased movements from the Rocky Mountain region to Cushing, Oklahoma, (ii) tariff escalations and (iii) contributions from acquisitions.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our results for the three months ended March 31, 2024 compared to 2023 reflect fewer crude oil market-based opportunities.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Field Operating Costs.</w:t>
      </w:r>
      <w:r>
        <w:rPr>
          <w:color w:val="000000"/>
        </w:rPr>
        <w:t xml:space="preserve"> </w:t>
      </w:r>
      <w:r>
        <w:rPr>
          <w:rFonts w:ascii="Times New Roman;sans-serif" w:hAnsi="Times New Roman;sans-serif"/>
          <w:b w:val="false"/>
          <w:color w:val="000000"/>
          <w:sz w:val="20"/>
        </w:rPr>
        <w:t>For the three months ended March 31, 2024 compared to the same period in 2023, we recognized higher expenses associated with (i) employee-related costs primarily resulting from higher average headcount and salaries, (ii) property taxes due to the impact of adjustments received in 2023 and (iii) incremental consolidated operating costs in connection with acquisitions. The unfavorable variance for the three months ended March 31, 2024 compared to 2023 was partially offset by (iv) lower utilities-related costs as a result of lower prices, (v) a decrease in the amount of drag reducing agents used and (vi) decreased costs resulting from lower third-party trucked volumes.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Maintenance Capital</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maintenance capital spending for the three months ended March 31, 2024 compared to the same period in 2023 was primarily due to timing of routine integrity maintenance.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NGL Segment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NGL segment operations involve natural gas processing and NGL fractionation, storage, transportation and terminalling. Our NGL revenues are primarily derived from a combination of (i) providing gathering, fractionation, storage, and/or terminalling services to third-party customers for a fee, and (ii) extracting NGL mix from the gas stream processed at our Empress straddle plant facility as well as acquiring NGL mix, which is then transported, stored and fractionated into finished products and sold to customers. Our management of our commodity exposure is subject to our risk management policies and may include the use of derivative instruments to mitigate the risk of such exposure and, at times, to provide upside opportunities.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Generally, our segment results are impacted by (i) increases or decreases in our NGL sales volumes, (ii) volatility in commodity price differentials, primarily the differential between the price of natural gas and the extracted NGL (“frac spread”), as well as location differentials and time spreads, (iii) the volume of natural gas transported on third-party assets through our Empress straddle plant and (iv) our share of the NGL’s received from a third party straddle plant.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NGL operations are sensitive to weather-related demand, particularly during the approximate five-month peak heating season of November through March, and temperature differences from period-to-period may have a significant effect on NGL demand and thus our financial performance as well as the impact of comparative performance between financial reporting periods that bisect the five-month peak heating season.</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73bffeb5d0234a1a8b7cd8141a48185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our operating results from our NGL segment:</w:t>
      </w:r>
    </w:p>
    <w:p>
      <w:pPr>
        <w:pStyle w:val="TextBody"/>
        <w:bidi w:val="0"/>
        <w:spacing w:before="0" w:after="0"/>
        <w:ind w:left="0" w:right="0" w:firstLine="720"/>
        <w:jc w:val="left"/>
        <w:rPr/>
      </w:pPr>
      <w:r>
        <w:rPr/>
      </w:r>
    </w:p>
    <w:tbl>
      <w:tblPr>
        <w:tblW w:w="10205" w:type="dxa"/>
        <w:jc w:val="center"/>
        <w:tblInd w:w="0" w:type="dxa"/>
        <w:tblLayout w:type="fixed"/>
        <w:tblCellMar>
          <w:top w:w="28" w:type="dxa"/>
          <w:left w:w="28" w:type="dxa"/>
          <w:bottom w:w="28" w:type="dxa"/>
          <w:right w:w="28" w:type="dxa"/>
        </w:tblCellMar>
      </w:tblPr>
      <w:tblGrid>
        <w:gridCol w:w="1315"/>
        <w:gridCol w:w="1156"/>
        <w:gridCol w:w="1158"/>
        <w:gridCol w:w="109"/>
        <w:gridCol w:w="109"/>
        <w:gridCol w:w="109"/>
        <w:gridCol w:w="109"/>
        <w:gridCol w:w="109"/>
        <w:gridCol w:w="109"/>
        <w:gridCol w:w="109"/>
        <w:gridCol w:w="109"/>
        <w:gridCol w:w="481"/>
        <w:gridCol w:w="481"/>
        <w:gridCol w:w="482"/>
        <w:gridCol w:w="109"/>
        <w:gridCol w:w="211"/>
        <w:gridCol w:w="466"/>
        <w:gridCol w:w="109"/>
        <w:gridCol w:w="109"/>
        <w:gridCol w:w="109"/>
        <w:gridCol w:w="109"/>
        <w:gridCol w:w="211"/>
        <w:gridCol w:w="466"/>
        <w:gridCol w:w="109"/>
        <w:gridCol w:w="109"/>
        <w:gridCol w:w="109"/>
        <w:gridCol w:w="109"/>
        <w:gridCol w:w="211"/>
        <w:gridCol w:w="531"/>
        <w:gridCol w:w="109"/>
        <w:gridCol w:w="109"/>
        <w:gridCol w:w="109"/>
        <w:gridCol w:w="109"/>
        <w:gridCol w:w="213"/>
        <w:gridCol w:w="213"/>
        <w:gridCol w:w="321"/>
      </w:tblGrid>
      <w:tr>
        <w:trPr/>
        <w:tc>
          <w:tcPr>
            <w:tcW w:w="1315"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6"/>
              </w:rPr>
              <w:t>Operating Results</w:t>
            </w:r>
            <w:r>
              <w:rPr>
                <w:color w:val="000000"/>
              </w:rPr>
              <w:t> </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Variance</w:t>
            </w:r>
          </w:p>
        </w:tc>
        <w:tc>
          <w:tcPr>
            <w:tcW w:w="2252" w:type="dxa"/>
            <w:gridSpan w:val="12"/>
            <w:tcBorders/>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36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and related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Field operating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Segment general and administrative expenses</w:t>
            </w:r>
            <w:r>
              <w:rPr>
                <w:color w:val="000000"/>
              </w:rPr>
              <w:t xml:space="preserve">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Adjustments </w:t>
            </w:r>
            <w:r>
              <w:rPr>
                <w:rFonts w:ascii="Times New Roman;sans-serif" w:hAnsi="Times New Roman;sans-serif"/>
                <w:b w:val="false"/>
                <w:color w:val="000000"/>
                <w:sz w:val="13"/>
              </w:rPr>
              <w:t>(3)</w:t>
            </w: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Derivative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Long-term inventory costing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7" w:type="dxa"/>
            <w:gridSpan w:val="3"/>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revaluation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Maintenance 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7" w:type="dxa"/>
            <w:gridSpan w:val="3"/>
            <w:tcBorders/>
            <w:vAlign w:val="center"/>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8982" w:type="dxa"/>
        <w:jc w:val="left"/>
        <w:tblInd w:w="0" w:type="dxa"/>
        <w:tblLayout w:type="fixed"/>
        <w:tblCellMar>
          <w:top w:w="28" w:type="dxa"/>
          <w:left w:w="28" w:type="dxa"/>
          <w:bottom w:w="28" w:type="dxa"/>
          <w:right w:w="28" w:type="dxa"/>
        </w:tblCellMar>
      </w:tblPr>
      <w:tblGrid>
        <w:gridCol w:w="976"/>
        <w:gridCol w:w="860"/>
        <w:gridCol w:w="863"/>
        <w:gridCol w:w="109"/>
        <w:gridCol w:w="109"/>
        <w:gridCol w:w="109"/>
        <w:gridCol w:w="109"/>
        <w:gridCol w:w="109"/>
        <w:gridCol w:w="109"/>
        <w:gridCol w:w="109"/>
        <w:gridCol w:w="109"/>
        <w:gridCol w:w="534"/>
        <w:gridCol w:w="534"/>
        <w:gridCol w:w="536"/>
        <w:gridCol w:w="109"/>
        <w:gridCol w:w="233"/>
        <w:gridCol w:w="233"/>
        <w:gridCol w:w="156"/>
        <w:gridCol w:w="109"/>
        <w:gridCol w:w="109"/>
        <w:gridCol w:w="109"/>
        <w:gridCol w:w="233"/>
        <w:gridCol w:w="233"/>
        <w:gridCol w:w="156"/>
        <w:gridCol w:w="109"/>
        <w:gridCol w:w="109"/>
        <w:gridCol w:w="109"/>
        <w:gridCol w:w="240"/>
        <w:gridCol w:w="240"/>
        <w:gridCol w:w="241"/>
        <w:gridCol w:w="109"/>
        <w:gridCol w:w="109"/>
        <w:gridCol w:w="109"/>
        <w:gridCol w:w="218"/>
        <w:gridCol w:w="218"/>
        <w:gridCol w:w="316"/>
      </w:tblGrid>
      <w:tr>
        <w:trPr/>
        <w:tc>
          <w:tcPr>
            <w:tcW w:w="976"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Variance</w:t>
            </w:r>
          </w:p>
        </w:tc>
        <w:tc>
          <w:tcPr>
            <w:tcW w:w="2127" w:type="dxa"/>
            <w:gridSpan w:val="12"/>
            <w:tcBorders/>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 xml:space="preserve">Average Volumes </w:t>
            </w:r>
          </w:p>
          <w:p>
            <w:pPr>
              <w:pStyle w:val="TableContents"/>
              <w:bidi w:val="0"/>
              <w:spacing w:lineRule="auto" w:line="240" w:before="0" w:after="0"/>
              <w:jc w:val="left"/>
              <w:rPr/>
            </w:pPr>
            <w:r>
              <w:rPr>
                <w:rFonts w:ascii="Times New Roman;sans-serif" w:hAnsi="Times New Roman;sans-serif"/>
                <w:b/>
                <w:color w:val="000000"/>
                <w:sz w:val="16"/>
              </w:rPr>
              <w:t>(in thousands of barrels per day</w:t>
            </w:r>
            <w:r>
              <w:rPr>
                <w:rFonts w:ascii="Times New Roman;sans-serif" w:hAnsi="Times New Roman;sans-serif"/>
                <w:b/>
                <w:color w:val="000000"/>
                <w:sz w:val="20"/>
              </w:rPr>
              <w:t xml:space="preserve">) </w:t>
            </w:r>
            <w:r>
              <w:rPr>
                <w:rFonts w:ascii="Times New Roman;sans-serif" w:hAnsi="Times New Roman;sans-serif"/>
                <w:b/>
                <w:color w:val="000000"/>
                <w:sz w:val="13"/>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Volumes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6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NGL fractionation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NGL pipeline tariff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Propane and butane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ans-serif" w:hAnsi="Times New Roman;sans-serif"/>
          <w:b w:val="false"/>
          <w:color w:val="000000"/>
          <w:sz w:val="13"/>
        </w:rPr>
        <w:t>**    </w:t>
      </w:r>
      <w:r>
        <w:rPr>
          <w:rFonts w:ascii="Times New Roman;sans-serif" w:hAnsi="Times New Roman;sans-serif"/>
          <w:b w:val="false"/>
          <w:color w:val="000000"/>
          <w:sz w:val="20"/>
        </w:rPr>
        <w:t>Indicates that variance as a percentage is not meaningful.</w:t>
      </w:r>
    </w:p>
    <w:p>
      <w:pPr>
        <w:pStyle w:val="TextBody"/>
        <w:bidi w:val="0"/>
        <w:spacing w:lineRule="auto" w:line="288" w:before="60" w:after="120"/>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Revenues and costs and expenses include intersegment amounts. </w:t>
      </w:r>
    </w:p>
    <w:p>
      <w:pPr>
        <w:pStyle w:val="TextBody"/>
        <w:bidi w:val="0"/>
        <w:spacing w:lineRule="auto" w:line="288" w:before="0" w:after="120"/>
        <w:ind w:left="0" w:right="0" w:hanging="72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 </w:t>
      </w:r>
    </w:p>
    <w:p>
      <w:pPr>
        <w:pStyle w:val="TextBody"/>
        <w:bidi w:val="0"/>
        <w:spacing w:lineRule="auto" w:line="288" w:before="0" w:after="120"/>
        <w:ind w:left="0" w:right="0" w:hanging="720"/>
        <w:jc w:val="left"/>
        <w:rPr/>
      </w:pPr>
      <w:r>
        <w:rPr>
          <w:rFonts w:ascii="Times New Roman;sans-serif" w:hAnsi="Times New Roman;sans-serif"/>
          <w:b w:val="false"/>
          <w:color w:val="000000"/>
          <w:sz w:val="13"/>
        </w:rPr>
        <w:t>(3)</w:t>
      </w:r>
      <w:r>
        <w:rPr>
          <w:rFonts w:ascii="Times New Roman;sans-serif" w:hAnsi="Times New Roman;sans-serif"/>
          <w:b w:val="false"/>
          <w:color w:val="000000"/>
          <w:sz w:val="20"/>
        </w:rPr>
        <w:t>Represents adjustments included in the performance measure utilized by our CODM in the evaluation of segment results. See Note 10 to our Condensed Consolidated Financial Statements for additional discussion of such adjustments.</w:t>
      </w:r>
    </w:p>
    <w:p>
      <w:pPr>
        <w:pStyle w:val="TextBody"/>
        <w:bidi w:val="0"/>
        <w:spacing w:lineRule="auto" w:line="288" w:before="0" w:after="120"/>
        <w:ind w:left="0" w:right="0" w:hanging="720"/>
        <w:jc w:val="left"/>
        <w:rPr/>
      </w:pPr>
      <w:r>
        <w:rPr>
          <w:rFonts w:ascii="Times New Roman;sans-serif" w:hAnsi="Times New Roman;sans-serif"/>
          <w:b w:val="false"/>
          <w:color w:val="000000"/>
          <w:sz w:val="13"/>
        </w:rPr>
        <w:t>(4)</w:t>
      </w:r>
      <w:r>
        <w:rPr>
          <w:rFonts w:ascii="Times New Roman;sans-serif" w:hAnsi="Times New Roman;sans-serif"/>
          <w:b w:val="false"/>
          <w:color w:val="000000"/>
          <w:sz w:val="20"/>
        </w:rPr>
        <w:t>Average daily volumes are calculated as total volumes (attributable to our interest for assets owned through undivided joint interests) for the period divided by the number of days in the period.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Segment Adjusted EBITDA</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NGL Segment Adjusted EBITDA decreased for the three months ended March 31, 2024 compared to the same period in 2023 primarily due to lower realized frac spreads.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Significant variances in the components of Segment Adjusted EBITDA are discussed in more detail below.</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73bffeb5d0234a1a8b7cd8141a48185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Net Revenues.</w:t>
      </w:r>
      <w:r>
        <w:rPr>
          <w:color w:val="000000"/>
        </w:rPr>
        <w:t xml:space="preserve"> </w:t>
      </w:r>
      <w:r>
        <w:rPr>
          <w:rFonts w:ascii="Times New Roman;sans-serif" w:hAnsi="Times New Roman;sans-serif"/>
          <w:b w:val="false"/>
          <w:color w:val="000000"/>
          <w:sz w:val="20"/>
        </w:rPr>
        <w:t>Net revenues include the impact of derivative activities and long-term inventory costing adjustments, which are excluded from Segment Adjusted EBITDA and thus are reflected as an “Adjustment” in the table above. Excluding such impacts, net revenues decreased for the three months ended March 31, 2024 compared to the same period in 2023 primarily due to (i) lower realized frac spreads, (ii) lower propane and butane sales volumes, and (iii) lower field operating costs recoveries at our Empress straddle plants realized through our commercial agreements.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Field Operating Costs.</w:t>
      </w:r>
      <w:r>
        <w:rPr>
          <w:color w:val="000000"/>
        </w:rPr>
        <w:t xml:space="preserve"> </w:t>
      </w:r>
      <w:r>
        <w:rPr>
          <w:rFonts w:ascii="Times New Roman;sans-serif" w:hAnsi="Times New Roman;sans-serif"/>
          <w:b w:val="false"/>
          <w:color w:val="000000"/>
          <w:sz w:val="20"/>
        </w:rPr>
        <w:t>The decrease in field operating costs for the three months ended March 31, 2024 compared to the same period in 2023 was primarily due to decreased utilities-related costs, largely as a result of lower prices. This decrease was partially offset by the lower benefit to net revenues of operating cost recoveries realized through commercial agreements.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Maintenance Capital</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decrease in maintenance capital spending for the three months ended March 31, 2024 compared to the same period in 2023 was primarily due to timing of equipment repairs and replacement projects for certain of our pipeline systems and fractionation facilities.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General</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primary sources of liquidity are (i) cash flow from operating activities and (ii) borrowings under PAA’s credit facilities or commercial paper program. In addition, we may supplement these primary sources of liquidity with proceeds from asset sales, and in the past have utilized funds received from sales of equity and debt securities. Our primary cash requirements include, but are not limited to, (i) ordinary course of business uses, such as the payment of amounts related to the purchase of crude oil, NGL and other products, payment of other expenses and interest payments on outstanding debt, (ii) investment and maintenance capital activities, (iii) acquisitions of assets or businesses, (iv) repayment of principal on long-term debt and (v) distributions to our Class A shareholders and noncontrolling interests. In addition, we may use cash for repurchases of common equity. We generally expect to fund our short-term cash requirements through cash flow generated from operating activities and/or borrowings under PAA’s credit facilities or commercial paper program. In addition, we generally expect to fund our long-term needs, such as those resulting from investment capital activities, acquisitions or refinancing long-term debt, through a variety of sources, which may include any or a combination of the sources listed above.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2024, although we had a working capital deficit of $142 million, we had approximately $2.5 billion of liquidity available to meet our ongoing operating, investing and financing needs, subject to continued covenant compliance, as noted below (in millions):</w:t>
      </w:r>
    </w:p>
    <w:p>
      <w:pPr>
        <w:pStyle w:val="TextBody"/>
        <w:bidi w:val="0"/>
        <w:spacing w:before="0" w:after="0"/>
        <w:ind w:left="0" w:right="0" w:firstLine="720"/>
        <w:jc w:val="left"/>
        <w:rPr/>
      </w:pPr>
      <w:r>
        <w:rPr/>
      </w:r>
    </w:p>
    <w:tbl>
      <w:tblPr>
        <w:tblW w:w="7139" w:type="dxa"/>
        <w:jc w:val="center"/>
        <w:tblInd w:w="0" w:type="dxa"/>
        <w:tblLayout w:type="fixed"/>
        <w:tblCellMar>
          <w:top w:w="28" w:type="dxa"/>
          <w:left w:w="28" w:type="dxa"/>
          <w:bottom w:w="28" w:type="dxa"/>
          <w:right w:w="28" w:type="dxa"/>
        </w:tblCellMar>
      </w:tblPr>
      <w:tblGrid>
        <w:gridCol w:w="2111"/>
        <w:gridCol w:w="1859"/>
        <w:gridCol w:w="1864"/>
        <w:gridCol w:w="280"/>
        <w:gridCol w:w="820"/>
        <w:gridCol w:w="205"/>
      </w:tblGrid>
      <w:tr>
        <w:trPr/>
        <w:tc>
          <w:tcPr>
            <w:tcW w:w="2111" w:type="dxa"/>
            <w:tcBorders/>
            <w:vAlign w:val="center"/>
          </w:tcPr>
          <w:p>
            <w:pPr>
              <w:pStyle w:val="TableContents"/>
              <w:bidi w:val="0"/>
              <w:spacing w:before="0" w:after="283"/>
              <w:jc w:val="left"/>
              <w:rPr>
                <w:sz w:val="4"/>
                <w:szCs w:val="4"/>
              </w:rPr>
            </w:pPr>
            <w:r>
              <w:rPr>
                <w:sz w:val="4"/>
                <w:szCs w:val="4"/>
              </w:rPr>
            </w:r>
          </w:p>
        </w:tc>
        <w:tc>
          <w:tcPr>
            <w:tcW w:w="1859"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58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As of </w:t>
              <w:br/>
              <w:t>March 31, 2024</w:t>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Availability under PAA senior unsecured revolving credit facility </w:t>
            </w:r>
            <w:r>
              <w:rPr>
                <w:rFonts w:ascii="Times New Roman;sans-serif" w:hAnsi="Times New Roman;sans-serif"/>
                <w:b w:val="false"/>
                <w:color w:val="000000"/>
                <w:sz w:val="13"/>
              </w:rPr>
              <w:t>(1) (2)</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Availability under PAA senior secured hedged inventory facility </w:t>
            </w:r>
            <w:r>
              <w:rPr>
                <w:rFonts w:ascii="Times New Roman;sans-serif" w:hAnsi="Times New Roman;sans-serif"/>
                <w:b w:val="false"/>
                <w:color w:val="000000"/>
                <w:sz w:val="13"/>
              </w:rPr>
              <w:t>(1) (2)</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1,323 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outstanding under PAA commercial paper program</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w:t>
            </w:r>
          </w:p>
        </w:tc>
        <w:tc>
          <w:tcPr>
            <w:tcW w:w="11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2,133 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Cash and cash equivalents</w:t>
            </w:r>
            <w:r>
              <w:rPr>
                <w:color w:val="000000"/>
              </w:rPr>
              <w:t xml:space="preserve"> </w:t>
            </w:r>
            <w:r>
              <w:rPr>
                <w:rFonts w:ascii="Times New Roman;sans-serif" w:hAnsi="Times New Roman;sans-serif"/>
                <w:b w:val="false"/>
                <w:color w:val="000000"/>
                <w:sz w:val="13"/>
              </w:rPr>
              <w:t>(3)</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2,452 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 xml:space="preserve">Represents availability prior to giving effect to borrowings outstanding under the PAA commercial paper program, which reduce available capacity under the credit facilities. </w:t>
      </w:r>
    </w:p>
    <w:p>
      <w:pPr>
        <w:pStyle w:val="TextBody"/>
        <w:bidi w:val="0"/>
        <w:spacing w:lineRule="auto" w:line="288" w:before="0" w:after="120"/>
        <w:ind w:left="0" w:right="0" w:hanging="72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Available capacity under the PAA senior unsecured revolving credit facility and the PAA senior secured hedged inventory facility was reduced by outstanding letters of credit issued under these facilities of less than $1 million and $27 million, respectively.</w:t>
      </w:r>
    </w:p>
    <w:p>
      <w:pPr>
        <w:pStyle w:val="TextBody"/>
        <w:bidi w:val="0"/>
        <w:spacing w:lineRule="auto" w:line="288" w:before="0" w:after="0"/>
        <w:ind w:left="0" w:right="0" w:hanging="720"/>
        <w:jc w:val="left"/>
        <w:rPr/>
      </w:pPr>
      <w:r>
        <w:rPr>
          <w:rFonts w:ascii="Times New Roman;sans-serif" w:hAnsi="Times New Roman;sans-serif"/>
          <w:b w:val="false"/>
          <w:color w:val="000000"/>
          <w:sz w:val="13"/>
        </w:rPr>
        <w:t>(3)</w:t>
      </w:r>
      <w:r>
        <w:rPr>
          <w:rFonts w:ascii="Times New Roman;sans-serif" w:hAnsi="Times New Roman;sans-serif"/>
          <w:b w:val="false"/>
          <w:color w:val="000000"/>
          <w:sz w:val="20"/>
        </w:rPr>
        <w:t>Excludes restricted cash of $15 million.</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73bffeb5d0234a1a8b7cd8141a48185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Usage of PAA’s credit facilities, and, in turn, its commercial paper program, is subject to ongoing compliance with covenants. The credit agreements for PAA’s revolving credit facilities (which impact PAA’s ability to access its commercial paper program because they provide the financial backstop that supports its short-term credit ratings) and the indentures governing its senior notes contain cross-default provisions. A default under PAA’s credit agreements or indentures would permit the lenders to accelerate the maturity of the outstanding debt. As long as PAA is in compliance with the provisions in its credit agreements, its ability to make distributions of available cash is not restricted. PAA was in compliance with the covenants contained in its credit agreements and indentures as of March 31, 2024.</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we have, and will continue to have, the ability to access the PAA commercial paper program and credit facilities, which we use to meet our short-term cash needs. We believe that our financial position remains strong and we have sufficient liquid assets, cash flow from operating activities and borrowing capacity under the credit agreements to meet our financial commitments, debt service obligations, contingencies and anticipated capital expenditures. We are, however, subject to business and operational risks that could adversely affect our cash flow, including extended disruptions in the financial markets and/or energy price volatility resulting from current macroeconomic and geopolitical conditions, including actions by the Organization of Petroleum Exporting Countries (OPEC). A prolonged material decrease in our cash flows would likely produce an adverse effect on our borrowing capacity and cost of borrowing. Our borrowing capacity and borrowing costs are also impacted by PAA’s credit rating. See Item 1A. “Risk Factors” included in our 2023 Annual Report on Form 10-K for further discussion regarding risks that may impact our liquidity and capital resources.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Cash Flow from Operating Activities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a comprehensive discussion of the primary drivers of cash flow from operating activities, including the impact of varying market conditions and the timing of settlement of our derivatives, see Item 7. “Liquidity and Capital Resources—Cash Flow from Operating Activities” included in our 2023 Annual Report on Form 10-K.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for the first three months of 2024 and 2023 was $418 million and $742 million, respectively, and primarily resulted from earnings from our operations. Both periods were also impacted by changes in working capital items. The 2024 period was impacted unfavorably, primarily by margin requirements related to our hedging activities. The 2023 period was impacted favorably, largely associated with reducing inventory levels during the period.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Investing Activities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Capital Expenditures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our operating needs, we also use cash for our investment capital projects, maintenance capital activities and acquisition activities. We fund these expenditures with cash generated by operating activities, financing activities and/or proceeds from asset sales. The following table summarizes our investment, maintenance and acquisition capital expenditures (in millions): </w:t>
      </w:r>
    </w:p>
    <w:p>
      <w:pPr>
        <w:pStyle w:val="TextBody"/>
        <w:bidi w:val="0"/>
        <w:spacing w:before="0" w:after="0"/>
        <w:ind w:left="0" w:right="0" w:firstLine="720"/>
        <w:jc w:val="left"/>
        <w:rPr/>
      </w:pPr>
      <w:r>
        <w:rPr/>
      </w:r>
    </w:p>
    <w:tbl>
      <w:tblPr>
        <w:tblW w:w="4163" w:type="dxa"/>
        <w:jc w:val="center"/>
        <w:tblInd w:w="0" w:type="dxa"/>
        <w:tblLayout w:type="fixed"/>
        <w:tblCellMar>
          <w:top w:w="28" w:type="dxa"/>
          <w:left w:w="28" w:type="dxa"/>
          <w:bottom w:w="28" w:type="dxa"/>
          <w:right w:w="28" w:type="dxa"/>
        </w:tblCellMar>
      </w:tblPr>
      <w:tblGrid>
        <w:gridCol w:w="804"/>
        <w:gridCol w:w="706"/>
        <w:gridCol w:w="709"/>
        <w:gridCol w:w="211"/>
        <w:gridCol w:w="466"/>
        <w:gridCol w:w="109"/>
        <w:gridCol w:w="109"/>
        <w:gridCol w:w="109"/>
        <w:gridCol w:w="109"/>
        <w:gridCol w:w="211"/>
        <w:gridCol w:w="466"/>
        <w:gridCol w:w="154"/>
      </w:tblGrid>
      <w:tr>
        <w:trPr/>
        <w:tc>
          <w:tcPr>
            <w:tcW w:w="8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Investment capital </w:t>
            </w:r>
            <w:r>
              <w:rPr>
                <w:rFonts w:ascii="Times New Roman;sans-serif" w:hAnsi="Times New Roman;sans-serif"/>
                <w:b w:val="false"/>
                <w:color w:val="000000"/>
                <w:sz w:val="13"/>
              </w:rPr>
              <w:t>(1) (2) (3)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Maintenance capital </w:t>
            </w:r>
            <w:r>
              <w:rPr>
                <w:rFonts w:ascii="Times New Roman;sans-serif" w:hAnsi="Times New Roman;sans-serif"/>
                <w:b w:val="false"/>
                <w:color w:val="000000"/>
                <w:sz w:val="13"/>
              </w:rPr>
              <w:t>(1) (3)</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Acquisition capital </w:t>
            </w:r>
            <w:r>
              <w:rPr>
                <w:rFonts w:ascii="Times New Roman;sans-serif" w:hAnsi="Times New Roman;sans-serif"/>
                <w:b w:val="false"/>
                <w:color w:val="000000"/>
                <w:sz w:val="13"/>
              </w:rPr>
              <w:t>(2) (4)</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Capital expenditures made to expand the existing operating and/or earnings capacity of our assets are classified as “Investment capital”. Capital expenditures made to replace and/or refurbish partially or fully depreciated assets in order to maintain the operating and/or earnings capacity of our existing assets are classified as “Maintenance capital”.</w:t>
      </w:r>
    </w:p>
    <w:p>
      <w:pPr>
        <w:pStyle w:val="TextBody"/>
        <w:bidi w:val="0"/>
        <w:spacing w:lineRule="auto" w:line="288" w:before="60" w:after="120"/>
        <w:ind w:left="0" w:right="0" w:hanging="72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Contributions to unconsolidated entities, accounted for under the equity method of accounting, that are related to investment capital projects by such entities are recognized in “Investment capital”. Acquisitions of initial investments or additional interests in unconsolidated entities are included in “Acquisition capital”.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73bffeb5d0234a1a8b7cd8141a48185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ind w:left="0" w:right="0" w:hanging="720"/>
        <w:jc w:val="left"/>
        <w:rPr/>
      </w:pPr>
      <w:r>
        <w:rPr>
          <w:rFonts w:ascii="Times New Roman;sans-serif" w:hAnsi="Times New Roman;sans-serif"/>
          <w:b w:val="false"/>
          <w:color w:val="000000"/>
          <w:sz w:val="13"/>
        </w:rPr>
        <w:t>(3)</w:t>
      </w:r>
      <w:r>
        <w:rPr>
          <w:rFonts w:ascii="Times New Roman;sans-serif" w:hAnsi="Times New Roman;sans-serif"/>
          <w:b w:val="false"/>
          <w:color w:val="000000"/>
          <w:sz w:val="20"/>
        </w:rPr>
        <w:t>Investment capital and maintenance capital, net to our 65% interest in the Permian JV, was approximately $79 million and $53 million, respectively, for the three months ended March 31, 2024, and approximately $58 million and $45 million, respectively, for the three months ended March 31, 2023.</w:t>
      </w:r>
    </w:p>
    <w:p>
      <w:pPr>
        <w:pStyle w:val="TextBody"/>
        <w:bidi w:val="0"/>
        <w:spacing w:lineRule="auto" w:line="288" w:before="0" w:after="0"/>
        <w:ind w:left="0" w:right="0" w:hanging="720"/>
        <w:jc w:val="left"/>
        <w:rPr/>
      </w:pPr>
      <w:r>
        <w:rPr>
          <w:rFonts w:ascii="Times New Roman;sans-serif" w:hAnsi="Times New Roman;sans-serif"/>
          <w:b w:val="false"/>
          <w:color w:val="000000"/>
          <w:sz w:val="13"/>
        </w:rPr>
        <w:t>(4)</w:t>
      </w:r>
      <w:r>
        <w:rPr>
          <w:rFonts w:ascii="Times New Roman;sans-serif" w:hAnsi="Times New Roman;sans-serif"/>
          <w:b w:val="false"/>
          <w:color w:val="000000"/>
          <w:sz w:val="20"/>
        </w:rPr>
        <w:t>Acquisition capital for the 2024 period primarily includes the acquisition of an additional ownership interest in an equity method investee.</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 xml:space="preserve">2024 Investment and Maintenance Capital. </w:t>
      </w:r>
      <w:r>
        <w:rPr>
          <w:rFonts w:ascii="Times New Roman;sans-serif" w:hAnsi="Times New Roman;sans-serif"/>
          <w:b w:val="false"/>
          <w:color w:val="000000"/>
          <w:sz w:val="20"/>
        </w:rPr>
        <w:t>Total investment capital for the year ending December 31, 2024 is projected to be approximately $465 million ($375 million net to our interest). Approximately half of our projected investment capital expenditures are expected to be invested in the Permian JV assets. Additionally, maintenance capital for 2024 is projected to be approximately $250 million ($230 million net to our interest). We expect to fund our 2024 investment and maintenance capital expenditures primarily with retained cash flow.</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Divestitures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the sale of assets have generally been used to fund our investment capital projects and reduce debt levels. The following table summarizes the proceeds received during the first three months of 2024 and 2023 from sales of assets (in millions):</w:t>
      </w:r>
    </w:p>
    <w:p>
      <w:pPr>
        <w:pStyle w:val="TextBody"/>
        <w:bidi w:val="0"/>
        <w:spacing w:before="0" w:after="0"/>
        <w:ind w:left="0" w:right="0" w:firstLine="720"/>
        <w:jc w:val="left"/>
        <w:rPr/>
      </w:pPr>
      <w:r>
        <w:rPr/>
      </w:r>
    </w:p>
    <w:tbl>
      <w:tblPr>
        <w:tblW w:w="4536" w:type="dxa"/>
        <w:jc w:val="center"/>
        <w:tblInd w:w="0" w:type="dxa"/>
        <w:tblLayout w:type="fixed"/>
        <w:tblCellMar>
          <w:top w:w="28" w:type="dxa"/>
          <w:left w:w="28" w:type="dxa"/>
          <w:bottom w:w="28" w:type="dxa"/>
          <w:right w:w="28" w:type="dxa"/>
        </w:tblCellMar>
      </w:tblPr>
      <w:tblGrid>
        <w:gridCol w:w="896"/>
        <w:gridCol w:w="787"/>
        <w:gridCol w:w="792"/>
        <w:gridCol w:w="109"/>
        <w:gridCol w:w="109"/>
        <w:gridCol w:w="109"/>
        <w:gridCol w:w="211"/>
        <w:gridCol w:w="256"/>
        <w:gridCol w:w="109"/>
        <w:gridCol w:w="109"/>
        <w:gridCol w:w="109"/>
        <w:gridCol w:w="109"/>
        <w:gridCol w:w="211"/>
        <w:gridCol w:w="466"/>
        <w:gridCol w:w="154"/>
      </w:tblGrid>
      <w:tr>
        <w:trPr/>
        <w:tc>
          <w:tcPr>
            <w:tcW w:w="89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Proceeds from divestitures</w:t>
            </w:r>
            <w:r>
              <w:rPr>
                <w:color w:val="000000"/>
              </w:rPr>
              <w:t xml:space="preserve">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Represents proceeds, including working capital adjustments, net of transaction costs. The proceeds from divestitures for the three months ended March 31, 2023 were primarily from the sale of our 21% non-operated/undivided joint interest in the Keyera Fort Saskatchewan facility in February 2023. See Note 7 to our Consolidated Financial Statements included in Part IV of our 2023 Annual Report on Form 10-K for additional discussion of this transaction.</w:t>
      </w:r>
    </w:p>
    <w:p>
      <w:pPr>
        <w:pStyle w:val="TextBody"/>
        <w:bidi w:val="0"/>
        <w:spacing w:before="60" w:after="283"/>
        <w:jc w:val="left"/>
        <w:rPr/>
      </w:pPr>
      <w:r>
        <w:rPr/>
      </w:r>
    </w:p>
    <w:p>
      <w:pPr>
        <w:pStyle w:val="TextBody"/>
        <w:bidi w:val="0"/>
        <w:spacing w:lineRule="auto" w:line="288" w:before="0" w:after="0"/>
        <w:ind w:left="0" w:right="0" w:firstLine="720"/>
        <w:jc w:val="left"/>
        <w:rPr/>
      </w:pPr>
      <w:r>
        <w:rPr>
          <w:rFonts w:ascii="Times New Roman;sans-serif" w:hAnsi="Times New Roman;sans-serif"/>
          <w:b/>
          <w:color w:val="000000"/>
          <w:sz w:val="20"/>
        </w:rPr>
        <w:t>Ongoing Activities Related to Strategic Transactions</w:t>
      </w:r>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continuously engaged in the evaluation of potential transactions that support our current business strategy. In the past, such transactions have included the acquisition of assets that complement our existing footprint, the sale of non-core assets, the sale of partial interests in assets to strategic joint venture partners, and large investment capital projects. With respect to a potential acquisition or divestiture, we may conduct an auction process or participate in an auction process conducted by a third party or we may negotiate a transaction with one or a limited number of potential sellers (in the case of an acquisition) or buyers (in the case of a divestiture). Such transactions could have a material effect on our financial condition and results of operations.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typically do not announce a transaction until after we have executed a definitive agreement.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efforts with respect to any such transactions will be successful, and we can provide no assurance that our financial expectations with respect to such transactions will ultimately be realized. See Item 1A. “Risk Factors—Risks Related to PAA’s Business—Acquisitions and divestitures involve risks that may adversely affect PAA’s business” included in our 2023 Annual Report on Form 10-K.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Financing Activities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financing activities primarily relate to funding investment capital projects, acquisitions and refinancing of our debt maturities, as well as short-term working capital (including borrowings for NYMEX and ICE margin deposits) and hedged inventory borrowings related to our NGL business and contango market activities. </w:t>
      </w:r>
    </w:p>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73bffeb5d0234a1a8b7cd8141a48185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Borrowings and Repayments Under Credit Agreements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2024, we had net borrowings under the PAA commercial paper program of $107 million. The net borrowings resulted primarily from borrowings during the period related to funding needs for capital investments, inventory purchases and other general partnership purposes.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had no net borrowings or repayments under the PAA credit facilities or commercial paper program during the three months ended March 31, 2023.</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Common Equity Repurchase Program</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repurchases under the Common Equity Repurchase Program (the “Program”) during the three months ended March 31, 2024 or 2023. The remaining available capacity under the Program as of March 31, 2024 was $198 million.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 xml:space="preserve">Registration Statements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PAGP Registration Statements.</w:t>
      </w:r>
      <w:r>
        <w:rPr>
          <w:color w:val="000000"/>
        </w:rPr>
        <w:t xml:space="preserve"> </w:t>
      </w:r>
      <w:r>
        <w:rPr>
          <w:rFonts w:ascii="Times New Roman;sans-serif" w:hAnsi="Times New Roman;sans-serif"/>
          <w:b w:val="false"/>
          <w:color w:val="000000"/>
          <w:sz w:val="20"/>
        </w:rPr>
        <w:t>We have filed with the SEC a shelf registration statement that, subject to effectiveness at the time of use, allows us to issue up to a specified amount of equity securities (“PAGP Traditional Shelf”). At March 31, 2024, we had approximately $939 million of unsold securities available. We also have access to a universal shelf registration statement (“PAGP WKSI Shelf”), which provides us with the ability to offer and sell an unlimited amount of equity securities, subject to market conditions and our capital needs. We did not conduct any offerings under the PAGP Traditional Shelf or PAGP WKSI Shelf during the three months ended March 31, 2024.</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PAA Registration Statements.</w:t>
      </w:r>
      <w:r>
        <w:rPr>
          <w:color w:val="000000"/>
        </w:rPr>
        <w:t xml:space="preserve"> </w:t>
      </w:r>
      <w:r>
        <w:rPr>
          <w:rFonts w:ascii="Times New Roman;sans-serif" w:hAnsi="Times New Roman;sans-serif"/>
          <w:b w:val="false"/>
          <w:color w:val="000000"/>
          <w:sz w:val="20"/>
        </w:rPr>
        <w:t>PAA periodically accesses the capital markets for both equity and debt financing. PAA has filed with the SEC a universal shelf registration statement that, subject to effectiveness at the time of use, allows PAA to issue up to a specified amount of debt or equity securities (“PAA Traditional Shelf”), under which PAA had approximately $1.1 billion of unsold securities available at March 31, 2024. PAA also has access to a universal shelf registration statement (“PAA WKSI Shelf”), which provides it with the ability to offer and sell an unlimited amount of debt and equity securities, subject to market conditions and its capital needs. PAA did not conduct any offerings under the PAA Traditional Shelf or the PAA WKSI Shelf during the three months ended March 31, 2024.</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Distributions to Our Class A Shareholders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May 15, 2024, we will pay a quarterly cash distribution of $0.3175 per Class A share ($1.27 per Class A share on an annualized basis) to shareholders of record at the close of business on May 1, 2024 for the period from January 1, 2024 through March 31, 2024, which is unchanged from the distribution per share paid in February of 2024. See Note 6 to our Condensed Consolidated Financial Statements for details of distributions paid during the first three months of 2024.</w:t>
      </w:r>
    </w:p>
    <w:p>
      <w:pPr>
        <w:pStyle w:val="TextBody"/>
        <w:bidi w:val="0"/>
        <w:spacing w:before="0" w:after="0"/>
        <w:ind w:left="0" w:right="0" w:hanging="36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Distributions to Noncontrolling Interests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Distributions to noncontrolling interests represent amounts paid on interests in consolidated entities that are not owned by us. As of March 31, 2024, noncontrolling interests in our subsidiaries consisted of (i) limited partner interests in PAA including a 70% interest in PAA’s common units and PAA’s Series A preferred units combined and 100% of PAA’s Series B preferred units, (ii) an approximate 15% limited partner interest in AAP, (iii) a 35% interest in the Permian JV, (iv) a 30% interest in Cactus II and (v) a 33% interest in Red River.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May 15, 2024, PAA will pay a quarterly cash distribution of approximately $0.615 per unit to its Series A preferred unitholders of record at the close of business on May 1, 2024 for the period from January 1, 2024 through March 31, 2024.</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May 15, 2024, PAA will pay a quarterly cash distribution of approximately $24.20 per unit to its Series B preferred unitholders of record at the close of business on May 1, 2024 for the period from February 15, 2024 through May 14, 2024.</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May 15, 2024, PAA will pay a quarterly cash distribution of $0.3175 per common unit ($1.27 per unit on an annualized basis) to common unitholders of record at the close of business on May 1, 2024 for the period from January 1, 2024 through March 31, 2024, which is unchanged from the distribution per unit paid in February of 2024.</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73bffeb5d0234a1a8b7cd8141a48185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See Note 6 to our Condensed Consolidated Financial Statements for details of distributions paid to noncontrolling interests during the three months ended March 31, 2024.</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Contingencies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a discussion of contingencies that may impact us, see Note 9 to our Condensed Consolidated Financial Statements.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Commitments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Purchase Obligations.</w:t>
      </w:r>
      <w:r>
        <w:rPr>
          <w:color w:val="000000"/>
        </w:rPr>
        <w:t xml:space="preserve"> </w:t>
      </w:r>
      <w:r>
        <w:rPr>
          <w:rFonts w:ascii="Times New Roman;sans-serif" w:hAnsi="Times New Roman;sans-serif"/>
          <w:b w:val="false"/>
          <w:color w:val="000000"/>
          <w:sz w:val="20"/>
        </w:rPr>
        <w:t xml:space="preserve">In the ordinary course of doing business, we purchase crude oil and NGL from third parties under contracts, the majority of which range in term from thirty-day evergreen to five years, with a limited number of contracts with remaining terms extending up to 11 years. We establish a margin for these purchases by entering into various types of physical and financial sale and exchange transactions through which we seek to maintain a position that is substantially balanced between purchases on the one hand and sales and future delivery obligations on the other. We do not expect to use a significant amount of internal capital to meet these obligations, as the obligations will be funded by corresponding sales to entities that we deem creditworthy or who have provided credit support we consider adequate.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includes our best estimate of the amount and timing of these payments as of March 31, 2024 (in millions):</w:t>
      </w:r>
    </w:p>
    <w:p>
      <w:pPr>
        <w:pStyle w:val="TextBody"/>
        <w:bidi w:val="0"/>
        <w:spacing w:before="0" w:after="0"/>
        <w:jc w:val="left"/>
        <w:rPr/>
      </w:pPr>
      <w:r>
        <w:rPr/>
      </w:r>
    </w:p>
    <w:tbl>
      <w:tblPr>
        <w:tblW w:w="10600" w:type="dxa"/>
        <w:jc w:val="center"/>
        <w:tblInd w:w="0" w:type="dxa"/>
        <w:tblLayout w:type="fixed"/>
        <w:tblCellMar>
          <w:top w:w="28" w:type="dxa"/>
          <w:left w:w="28" w:type="dxa"/>
          <w:bottom w:w="28" w:type="dxa"/>
          <w:right w:w="28" w:type="dxa"/>
        </w:tblCellMar>
      </w:tblPr>
      <w:tblGrid>
        <w:gridCol w:w="435"/>
        <w:gridCol w:w="382"/>
        <w:gridCol w:w="384"/>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826"/>
        <w:gridCol w:w="154"/>
      </w:tblGrid>
      <w:tr>
        <w:trPr/>
        <w:tc>
          <w:tcPr>
            <w:tcW w:w="435"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Remainder of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2029 and 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Crude oil, NGL and other purchases </w:t>
            </w:r>
            <w:r>
              <w:rPr>
                <w:rFonts w:ascii="Times New Roman;sans-serif" w:hAnsi="Times New Roman;sans-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Amounts are primarily based on estimated volumes and market prices based on average activity during March 2024. The actual physical volume purchased and actual settlement prices will vary from the assumptions used in the table. Uncertainties involved in these estimates include levels of production at the wellhead, weather conditions, changes in market prices and other conditions beyond our control.</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Letters of Credit.</w:t>
      </w:r>
      <w:r>
        <w:rPr>
          <w:color w:val="000000"/>
        </w:rPr>
        <w:t xml:space="preserve"> </w:t>
      </w:r>
      <w:r>
        <w:rPr>
          <w:rFonts w:ascii="Times New Roman;sans-serif" w:hAnsi="Times New Roman;sans-serif"/>
          <w:b w:val="false"/>
          <w:color w:val="000000"/>
          <w:sz w:val="20"/>
        </w:rPr>
        <w:t>In connection with our merchant activities, we provide certain suppliers with irrevocable standby letters of credit to secure our obligation for the purchase and transportation of crude oil, NGL and natural gas. Our liabilities with respect to these purchase obligations are recorded in accounts payable on our balance sheet in the month the product is purchased. Generally, these letters of credit are issued for periods of up to seventy days and are terminated upon completion of each transaction. Additionally, we issue letters of credit to support insurance programs, derivative transactions, including hedging-related margin obligations, and construction activities. At March 31, 2024 and December 31, 2023, we had outstanding letters of credit of approximately $161 million and $205 million, respectively.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See Note 1 to our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 </w:t>
      </w:r>
    </w:p>
    <w:p>
      <w:pPr>
        <w:pStyle w:val="TextBody"/>
        <w:bidi w:val="0"/>
        <w:spacing w:before="0" w:after="0"/>
        <w:jc w:val="center"/>
        <w:rPr/>
      </w:pPr>
      <w:r>
        <w:rPr/>
      </w:r>
    </w:p>
    <w:p>
      <w:pPr>
        <w:pStyle w:val="TextBody"/>
        <w:bidi w:val="0"/>
        <w:spacing w:lineRule="auto" w:line="276" w:before="0" w:after="120"/>
        <w:ind w:left="0" w:right="0" w:hanging="360"/>
        <w:jc w:val="left"/>
        <w:rPr/>
      </w:pPr>
      <w:r>
        <w:rPr>
          <w:color w:val="000000"/>
        </w:rPr>
        <w:t>•</w:t>
      </w:r>
      <w:r>
        <w:rPr>
          <w:rFonts w:ascii="Times New Roman;sans-serif" w:hAnsi="Times New Roman;sans-serif"/>
          <w:b w:val="false"/>
          <w:color w:val="000000"/>
          <w:sz w:val="20"/>
        </w:rPr>
        <w:t>our expected receipt of, and amounts of, distributions from Plains AAP, LP, and the effect thereof on our ability to pay distributions to our Class A shareholders;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general economic, market or business conditions in the United States and elsewhere (including the potential for a recession or significant slowdown in economic activity levels, the risk of persistently high inflation and continued supply chain issues, the impact of global public health events, such as pandemics, on demand and growth, and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73bffeb5d0234a1a8b7cd8141a48185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timing, pace and extent of economic recovery) that impact (i) demand for crude oil, drilling and production activities and therefore the demand for the midstream services we provide and (ii) commercial opportunities available to us;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declines in global crude oil demand and/or crude oil prices or other factors that correspondingly lead to a significant reduction of North American crude oil and natural gas liquids (“NGL”)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and NGL shipped, processed, purchased, stored, fractionated and/or gathered at or through the use of our assets and/or the reduction of the margins we can earn or the commercial opportunities that might otherwise be available to us;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fluctuations in refinery capacity and other factors affecting demand for various grades of crude oil and NGL and resulting changes in pricing conditions or transportation throughput requirements;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unanticipated changes in crude oil and NGL market structure, grade differentials and volatility (or lack thereof);</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effects of competition and capacity overbuild in areas where we operate, including downward pressure on rates, volumes and margins, contract renewal risk and the risk of loss of business to other midstream operators who are willing or under pressure to aggressively reduce transportation rates in order to capture or preserve customers;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negative societal sentiment regarding the hydrocarbon energy industry and the continued development and consumption of hydrocarbons, which could influence consumer preferences and governmental or regulatory actions that adversely impact our business;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environmental liabilities, litigation or other events that are not covered by an indemnity, insurance or existing reserves;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occurrence of a natural disaster, catastrophe, terrorist attack (including eco-terrorist attacks) or other event that materially impacts our operations, including cyber or other attacks on our electronic and computer systems;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weather interference with business operations or project construction, including the impact of extreme weather events or conditions;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impact of current and future laws, rulings, legislation, governmental regulations, executive orders, trade policies, accounting standards and statements, and related interpretations that (i) prohibit, restrict or regulate the development of oil and gas resources and the related infrastructure on lands dedicated to or served by our pipelines or (ii) negatively impact our ability to develop, operate or repair midstream assets;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negative impacts on production levels in the Permian Basin or elsewhere due to issues associated with (or laws, rules or regulations relating to) hydraulic fracturing and related activities (including wastewater injection or disposal), including earthquakes, subsidence, expansion or other issues;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loss of key personnel and inability to attract and retain new talent;</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disruptions to futures markets for crude oil, NGL and other petroleum products, which may impair our ability to execute our commercial or hedging strategies;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effectiveness of our risk management activities;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shortages or cost increases of supplies, materials or labor;</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maintenance of PAA’s credit rating and ability to receive open credit from our suppliers and trade counterparties;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successful operation of joint ventures and joint operating arrangements we enter into from time to time, whether relating to assets operated by us or by third parties, and the successful integration and future performance of acquired assets or businesses;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availability of, and our ability to consummate, acquisitions, divestitures, joint ventures or other strategic opportunities;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73bffeb5d0234a1a8b7cd8141a48185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refusal or inability of our customers or counterparties to perform their obligations under their contracts with us (including commercial contracts, asset sale agreements and other agreements), whether justified or not and whether due to financial constraints (such as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our inability to perform our obligations under our contracts, whether due to non-performance by third parties, including our customers or counterparties, market constraints, third-party constraints, supply chain issues, legal constraints (including governmental orders or guidance), or other factors or events;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incurrence of costs and expenses related to unexpected or unplanned capital expenditures, third-party claims or other factors;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failure to implement or capitalize, or delays in implementing or capitalizing, on investment capital projects, whether due to permitting delays, permitting withdrawals or other factors;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tightened capital markets or other factors that increase our cost of capital or limit our ability to obtain debt or equity financing on satisfactory terms to fund additional acquisitions, investment capital projects, working capital requirements and the repayment or refinancing of indebtedness;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amplification of other risks caused by volatile financial markets, capital constraints, liquidity concerns and inflation;</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use or availability of third-party assets upon which our operations depend and over which we have little or no control;</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currency exchange rate of the Canadian dollar to the United States dollar;</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inability to recognize current revenue attributable to deficiency payments received from customers who fail to ship or move more than minimum contracted volumes until the related credits expire or are used;</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significant under-utilization of our assets and facilities;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increased costs, or lack of availability, of insurance;</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fluctuations in the debt and equity markets, including the price of PAA’s units at the time of vesting under its long-term incentive plans;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risks related to the development and operation of our assets;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pace of development of natural gas infrastructure and its impact on expected crude oil production growth in the Permian Basin;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other factors and uncertainties inherent in the transportation, storage, terminalling and marketing of crude oil, as well as in the processing, transportation, fractionation, storage and marketing of NGL.</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Other factors described herein, as well as factors that are unknown or unpredictable, could also have a material adverse effect on future results. Please read “Risk Factors” discussed in Item 1A of our 2023 Annual Report on Form 10-K. Except as required by applicable securities laws, we do not intend to update these forward-looking statements and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3. QUANTITATIVE AND QUALITATIVE DISCLOSURES ABOUT MARKET RISK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exposed to various market risks, including commodity price risk and interest rate risk. We use various derivative instruments to manage such risks and, in certain circumstances, to realize incremental margin during volatile market conditions. Our risk management policies and procedures are designed to help ensure that our hedging activities address our risks by monitoring our exchange-cleared and over-the-counter positions, as well as physical volumes, grades, locations, delivery schedules and storage capacity. We have a risk management function that has direct responsibility and authority for our risk policies, related controls around commercial activities and certain aspects of corporate risk management. Our risk management function also approves all new risk management strategies through a formal process. The following discussion addresses each category of risk.</w:t>
      </w:r>
    </w:p>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73bffeb5d0234a1a8b7cd8141a48185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Commodity Price Risk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use derivative instruments to hedge price risk associated with the following commodities: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u w:val="single"/>
        </w:rPr>
        <w:t>Crude oil</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utilize crude oil derivatives to hedge commodity price risk inherent in our pipeline, terminalling and merchant activities. Our objectives for these derivatives include hedging anticipated purchases and sales, stored inventory and basis differentials. We manage these exposures with various instruments including futures, forwards, swaps and options.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u w:val="single"/>
        </w:rPr>
        <w:t>Natural gas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utilize natural gas derivatives to hedge commodity price risk inherent in our natural gas processing assets (natural gas purchase component of the frac spread). Additionally, we utilize natural gas derivatives to hedge anticipated operational fuel gas requirements related to our natural gas processing and NGL fractionation plants. We manage these exposures with various instruments including futures, swaps and options.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u w:val="single"/>
        </w:rPr>
        <w:t>NGL and other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utilize NGL derivatives, primarily propane and butane derivatives, to hedge commodity price risk inherent in our commercial activities, including the sale of the individual specification products extracted in our natural gas processing assets (sale of specification NGL products component of the frac spread), as well as other net sales of NGL inventory, held mainly at our owned NGL storage terminals. Our objectives for these derivatives include hedging anticipated purchases and sales and stored inventory. We manage these exposures with various instruments including futures, forwards, swaps and options.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See Note 7 to our Condensed Consolidated Financial Statements for further discussion regarding our hedging strategies and objectives.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our commodity derivatives and the change in fair value as of March 31, 2024 that would be expected from a 10% price increase or decrease is shown in the table below (in millions):</w:t>
      </w:r>
    </w:p>
    <w:p>
      <w:pPr>
        <w:pStyle w:val="TextBody"/>
        <w:bidi w:val="0"/>
        <w:spacing w:before="0" w:after="0"/>
        <w:jc w:val="left"/>
        <w:rPr/>
      </w:pPr>
      <w:r>
        <w:rPr/>
      </w:r>
    </w:p>
    <w:tbl>
      <w:tblPr>
        <w:tblW w:w="5256" w:type="dxa"/>
        <w:jc w:val="center"/>
        <w:tblInd w:w="0" w:type="dxa"/>
        <w:tblLayout w:type="fixed"/>
        <w:tblCellMar>
          <w:top w:w="28" w:type="dxa"/>
          <w:left w:w="28" w:type="dxa"/>
          <w:bottom w:w="28" w:type="dxa"/>
          <w:right w:w="28" w:type="dxa"/>
        </w:tblCellMar>
      </w:tblPr>
      <w:tblGrid>
        <w:gridCol w:w="495"/>
        <w:gridCol w:w="433"/>
        <w:gridCol w:w="437"/>
        <w:gridCol w:w="233"/>
        <w:gridCol w:w="541"/>
        <w:gridCol w:w="121"/>
        <w:gridCol w:w="109"/>
        <w:gridCol w:w="109"/>
        <w:gridCol w:w="109"/>
        <w:gridCol w:w="341"/>
        <w:gridCol w:w="608"/>
        <w:gridCol w:w="177"/>
        <w:gridCol w:w="109"/>
        <w:gridCol w:w="109"/>
        <w:gridCol w:w="109"/>
        <w:gridCol w:w="346"/>
        <w:gridCol w:w="617"/>
        <w:gridCol w:w="253"/>
      </w:tblGrid>
      <w:tr>
        <w:trPr/>
        <w:tc>
          <w:tcPr>
            <w:tcW w:w="495"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Effect of 10%</w:t>
              <w:br/>
              <w:t>Price Increase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Effect of 10%</w:t>
              <w:br/>
              <w:t>Price Decrease</w:t>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Crude oil</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w:t>
            </w:r>
          </w:p>
        </w:tc>
        <w:tc>
          <w:tcPr>
            <w:tcW w:w="7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2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NGL and other</w:t>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fair value</w:t>
            </w:r>
          </w:p>
        </w:tc>
        <w:tc>
          <w:tcPr>
            <w:tcW w:w="2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w:t>
            </w:r>
          </w:p>
        </w:tc>
        <w:tc>
          <w:tcPr>
            <w:tcW w:w="1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bl>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values presented in the table above reflect the sensitivity of the derivative instruments only and do not include the effect of the underlying hedged commodity. Price-risk sensitivities were calculated by assuming an across-the-board 10% increase or decrease in price regardless of term or historical relationships between the contractual price of the instruments and the underlying commodity price. In the event of an actual 10% change in near-term commodity prices, the fair value of our derivative portfolio would typically change less than that shown in the table as changes in near-term prices are not typically mirrored in delivery months further out.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73bffeb5d0234a1a8b7cd8141a48185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Interest Rate Risk</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Debt</w:t>
      </w:r>
      <w:r>
        <w:rPr>
          <w:rFonts w:ascii="Times New Roman;sans-serif" w:hAnsi="Times New Roman;sans-serif"/>
          <w:b w:val="false"/>
          <w:color w:val="000000"/>
          <w:sz w:val="20"/>
        </w:rPr>
        <w:t>. Our use of variable rate debt and any forecasted issuances of fixed rate debt expose us to interest rate risk. Therefore, from time to time, we use interest rate derivatives to hedge interest rate risk associated with anticipated interest payments and, in certain cases, outstanding debt instruments. All of PAA’s senior notes are fixed rate notes and thus are not subject to interest rate risk. PAA’s variable rate debt outstanding at March 31, 2024, approximately $540 million, was subject to interest rate resets that generally range from less than one week to approximately one month. The average interest rate on variable rate debt that was outstanding during the three months ended March 31, 2024 was 5.8%, based upon rates in effect during such period. The fair value of our interest rate derivatives was a net asset of $68 million as of March 31, 2024. A 10% increase in the forward SOFR curve as of March 31, 2024 would have resulted in an increase of $18 million to the fair value of our interest rate derivatives. A 10% decrease in the forward SOFR curve as of March 31, 2024 would have resulted in a decrease of $18 million to the fair value of our interest rate derivatives. See Note 7 to our Condensed Consolidated Financial Statements for a discussion of our interest rate risk hedging activities.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Series B Preferred Units</w:t>
      </w:r>
      <w:r>
        <w:rPr>
          <w:rFonts w:ascii="Times New Roman;sans-serif" w:hAnsi="Times New Roman;sans-serif"/>
          <w:b w:val="false"/>
          <w:color w:val="000000"/>
          <w:sz w:val="20"/>
        </w:rPr>
        <w:t>. Distributions on PAA’s Series B preferred units accumulate and are payable quarterly in arrears on the 15th day of February, May, August and November. Distributions on PAA’s Series B preferred units accumulate based on the applicable three-month SOFR, plus certain adjustments. Based upon the Series B preferred units outstanding at March 31, 2024 and the liquidation preference of $1,000 per unit, a change of 100 basis points in interest rates would increase or decrease the annual distributions on PAA’s Series B preferred units by approximately $8 million. See Note 11 to our Consolidated Financial Statements included in Part IV of our 2023 Annual Report on Form 10-K for additional information regarding PAA’s Series B preferred unit distributions.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Disclosure Controls and Procedures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maintain written disclosure controls and procedures, which we refer to as our “DCP.” Our DCP is designed to ensure that information required to be disclosed by us in reports that we file under the Securities Exchange Act of 1934 (the “Exchange Act”) is (i) recorded, processed, summarized and reported within the time periods specified in the SEC’s rules and forms, and (ii) accumulated and communicated to management, including our Chief Executive Officer and Chief Financial Officer, to allow for timely decisions regarding required disclosure.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Applicable SEC rules require an evaluation of the effectiveness of our DCP. Management, under the supervision and with the participation of our Chief Executive Officer and Chief Financial Officer, has evaluated the effectiveness of our DCP as of March 31, 2024, the end of the period covered by this report, and, based on such evaluation, our Chief Executive Officer and Chief Financial Officer have concluded that our DCP is effective.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the information concerning our DCP, we are required to disclose certain changes in internal control over financial reporting. There have been no changes in our internal control over financial reporting during the first quarter of 2024 that have materially affected, or are reasonably likely to materially affect, our internal control over financial reporting.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Certifications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certifications of our Chief Executive Officer and Chief Financial Officer pursuant to Exchange Act Rules 13a-14(a) and 15d-14(a) are filed with this report as Exhibits 31.1 and 31.2. The certifications of our Chief Executive Officer and Chief Financial Officer pursuant to 18 U.S.C. 1350 are furnished with this report as Exhibits 32.1 and 32.2.</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 OTHER INFORMATION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Item 1.</w:t>
      </w:r>
      <w:r>
        <w:rPr>
          <w:color w:val="000000"/>
        </w:rPr>
        <w:t xml:space="preserve">   </w:t>
      </w:r>
      <w:r>
        <w:rPr>
          <w:rFonts w:ascii="Times New Roman;sans-serif" w:hAnsi="Times New Roman;sans-serif"/>
          <w:b/>
          <w:color w:val="000000"/>
          <w:sz w:val="20"/>
        </w:rPr>
        <w:t>LEGAL PROCEEDINGS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included in Note 9 to our Condensed Consolidated Financial Statements, and is incorporated herein by reference thereto.</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73bffeb5d0234a1a8b7cd8141a48185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0" w:after="0"/>
        <w:jc w:val="left"/>
        <w:rPr>
          <w:color w:val="000000"/>
        </w:rPr>
      </w:pPr>
      <w:r>
        <w:rPr>
          <w:color w:val="000000"/>
        </w:rPr>
        <w:t> </w:t>
      </w:r>
    </w:p>
    <w:p>
      <w:pPr>
        <w:pStyle w:val="TextBody"/>
        <w:bidi w:val="0"/>
        <w:spacing w:lineRule="auto" w:line="27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a discussion of our risk factors, see Item 1A. of our 2023 Annual Report on Form 10-K. Those risks and uncertainties are not the only ones facing us and there may be additional matters of which we are unaware or that we currently consider immaterial. All of those risks and uncertainties could adversely affect our business, financial condition and/or results of operations. </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Item 2.</w:t>
      </w:r>
      <w:r>
        <w:rPr>
          <w:color w:val="000000"/>
        </w:rPr>
        <w:t xml:space="preserve">   </w:t>
      </w:r>
      <w:r>
        <w:rPr>
          <w:rFonts w:ascii="Times New Roman;sans-serif" w:hAnsi="Times New Roman;sans-serif"/>
          <w:b/>
          <w:color w:val="000000"/>
          <w:sz w:val="20"/>
        </w:rPr>
        <w:t>UNREGISTERED SALES OF EQUITY SECURITIES AND USE OF PROCEEDS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Sales of Unregistered Securities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our IPO and related transactions, the former owners of Plains All American GP LLC (the “Legacy Owners”) acquired the following interests (collectively, the “Stapled Interests”): (i) Class A units of AAP (“AAP units”) representing an economic limited partner interest in AAP; (ii) general partner units representing a non-economic membership interest in our general partner; and (iii) Class B shares representing a non-economic limited partner interest in us. The Legacy Owners and any permitted transferees of their Stapled Interests have the right to exchange (the “Exchange Right”) all or a portion of such Stapled Interests for an equivalent number of Class A shares. In connection with the exercise of the Exchange Right, the Stapled Interests are transferred to us and the applicable Class B shares are canceled. Although we issue one Class A share for each Stapled Interest that is exchanged, we also receive one AAP unit and one general partner unit. As a result, the exercise by Legacy Owners of the Exchange Right is not dilutive. During the three months ended March 31, 2024, certain Legacy Owners or their permitted transferees exercised the Exchange Right, which resulted in the issuance of 835,499 Class A shares. The issuance of Class A shares in connection with the exercise of the Exchange Right was exempt from the registration requirements of the Securities Act of 1933, as amended, pursuant to Section 4(a)(2) thereof.</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Issuer Purchases of Equity Securities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Item 3.</w:t>
      </w:r>
      <w:r>
        <w:rPr>
          <w:color w:val="000000"/>
        </w:rPr>
        <w:t xml:space="preserve">   </w:t>
      </w:r>
      <w:r>
        <w:rPr>
          <w:rFonts w:ascii="Times New Roman;sans-serif" w:hAnsi="Times New Roman;sans-serif"/>
          <w:b/>
          <w:color w:val="000000"/>
          <w:sz w:val="20"/>
        </w:rPr>
        <w:t>DEFAULTS UPON SENIOR SECURITIES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Item 4.</w:t>
      </w:r>
      <w:r>
        <w:rPr>
          <w:color w:val="000000"/>
        </w:rPr>
        <w:t xml:space="preserve">   </w:t>
      </w:r>
      <w:r>
        <w:rPr>
          <w:rFonts w:ascii="Times New Roman;sans-serif" w:hAnsi="Times New Roman;sans-serif"/>
          <w:b/>
          <w:color w:val="000000"/>
          <w:sz w:val="20"/>
        </w:rPr>
        <w:t>MINE SAFETY DISCLOSURES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Item 5.</w:t>
      </w:r>
      <w:r>
        <w:rPr>
          <w:color w:val="000000"/>
        </w:rPr>
        <w:t xml:space="preserve">   </w:t>
      </w:r>
      <w:r>
        <w:rPr>
          <w:rFonts w:ascii="Times New Roman;sans-serif" w:hAnsi="Times New Roman;sans-serif"/>
          <w:b/>
          <w:color w:val="000000"/>
          <w:sz w:val="20"/>
        </w:rPr>
        <w:t>OTHER INFORMATION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quarter ended March 31, 2024, none of our directors or officers (as defined in Rule 16a-1(f) of the Securities Exchange Act of 1934) adopted or terminated a Rule 10b5-1 trading arrangement or non-Rule 10b5-1 trading arrangement (as such terms are defined in Item 408 of Regulation S-K).</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73bffeb5d0234a1a8b7cd8141a48185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pPr>
      <w:r>
        <w:rPr>
          <w:rFonts w:ascii="Times New Roman;sans-serif" w:hAnsi="Times New Roman;sans-serif"/>
          <w:b/>
          <w:color w:val="000000"/>
          <w:sz w:val="20"/>
        </w:rPr>
        <w:t>Item 6.</w:t>
      </w:r>
      <w:r>
        <w:rPr>
          <w:color w:val="000000"/>
        </w:rPr>
        <w:t xml:space="preserve">   </w:t>
      </w:r>
      <w:r>
        <w:rPr>
          <w:rFonts w:ascii="Times New Roman;sans-serif" w:hAnsi="Times New Roman;sans-serif"/>
          <w:b/>
          <w:color w:val="000000"/>
          <w:sz w:val="20"/>
        </w:rPr>
        <w:t>EXHIBITS</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280"/>
        <w:gridCol w:w="246"/>
        <w:gridCol w:w="247"/>
        <w:gridCol w:w="115"/>
        <w:gridCol w:w="115"/>
        <w:gridCol w:w="116"/>
        <w:gridCol w:w="2821"/>
        <w:gridCol w:w="2579"/>
        <w:gridCol w:w="3686"/>
      </w:tblGrid>
      <w:tr>
        <w:trPr/>
        <w:tc>
          <w:tcPr>
            <w:tcW w:w="28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821" w:type="dxa"/>
            <w:tcBorders/>
            <w:vAlign w:val="center"/>
          </w:tcPr>
          <w:p>
            <w:pPr>
              <w:pStyle w:val="TableContents"/>
              <w:bidi w:val="0"/>
              <w:spacing w:before="0" w:after="283"/>
              <w:jc w:val="left"/>
              <w:rPr>
                <w:sz w:val="4"/>
                <w:szCs w:val="4"/>
              </w:rPr>
            </w:pPr>
            <w:r>
              <w:rPr>
                <w:sz w:val="4"/>
                <w:szCs w:val="4"/>
              </w:rPr>
            </w:r>
          </w:p>
        </w:tc>
        <w:tc>
          <w:tcPr>
            <w:tcW w:w="2579" w:type="dxa"/>
            <w:tcBorders/>
            <w:vAlign w:val="center"/>
          </w:tcPr>
          <w:p>
            <w:pPr>
              <w:pStyle w:val="TableContents"/>
              <w:bidi w:val="0"/>
              <w:spacing w:before="0" w:after="283"/>
              <w:jc w:val="left"/>
              <w:rPr>
                <w:sz w:val="4"/>
                <w:szCs w:val="4"/>
              </w:rPr>
            </w:pPr>
            <w:r>
              <w:rPr>
                <w:sz w:val="4"/>
                <w:szCs w:val="4"/>
              </w:rPr>
            </w:r>
          </w:p>
        </w:tc>
        <w:tc>
          <w:tcPr>
            <w:tcW w:w="3686" w:type="dxa"/>
            <w:tcBorders/>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Exhibit No.</w:t>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Description</w:t>
            </w:r>
          </w:p>
        </w:tc>
      </w:tr>
      <w:tr>
        <w:trPr/>
        <w:tc>
          <w:tcPr>
            <w:tcW w:w="7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FF"/>
                  <w:sz w:val="20"/>
                  <w:u w:val="single"/>
                </w:rPr>
                <w:t>Certificate of Limited Partnership of Plains GP Holdings, L.P. (incorporated by reference to Exhibit 3.1 to our Registration Statement on Form S-1 (333-190227) filed July 29, 2013).</w:t>
              </w:r>
            </w:hyperlink>
          </w:p>
        </w:tc>
      </w:tr>
      <w:tr>
        <w:trPr/>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Second Amended and Restated Agreement of Limited Partnership of Plains GP Holdings, L.P. dated as of November 15, 2016 (incorporated by reference to Exhibit 3.2 to our Current Report on Form 8-K filed November 21, 2016).</w:t>
              </w:r>
            </w:hyperlink>
          </w:p>
        </w:tc>
      </w:tr>
      <w:tr>
        <w:trPr/>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Amendment No. 1 dated April 6, 2020 to the Second Amended and Restated Agreement of Limited Partnership of Plains GP Holdings, L.P. (incorporated by reference to Exhibit 3.1 to our Current Report on Form 8-K filed April 9, 2020).</w:t>
              </w:r>
            </w:hyperlink>
          </w:p>
        </w:tc>
      </w:tr>
      <w:tr>
        <w:trPr/>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20"/>
                  <w:u w:val="single"/>
                </w:rPr>
                <w:t>Certificate of Formation of PAA GP Holdings LLC (incorporated by reference to Exhibit 3.3 to our Registration Statement on Form S-1 (333-190227) filed July 29, 2013).</w:t>
              </w:r>
            </w:hyperlink>
          </w:p>
        </w:tc>
      </w:tr>
      <w:tr>
        <w:trPr/>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FF"/>
                  <w:sz w:val="20"/>
                  <w:u w:val="single"/>
                </w:rPr>
                <w:t>Fourth Amended and Restated Limited Liability Company Agreement of PAA GP Holdings LLC dated effective as of August 19, 2021 (incorporated by reference to Exhibit 3.11 to our Annual Report on Form 10-K for the year ended December 31, 2021).</w:t>
              </w:r>
            </w:hyperlink>
          </w:p>
        </w:tc>
      </w:tr>
      <w:tr>
        <w:trPr/>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FF"/>
                  <w:sz w:val="20"/>
                  <w:u w:val="single"/>
                </w:rPr>
                <w:t>Seventh Amended and Restated Agreement of Limited Partnership of Plains All American Pipeline, L.P., dated as of October 10, 2017 (incorporated by reference to Exhibit 3.1 to PAA's Current Report on Form 8-K filed October 12, 2017).</w:t>
              </w:r>
            </w:hyperlink>
          </w:p>
        </w:tc>
      </w:tr>
      <w:tr>
        <w:trPr/>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ans-serif" w:hAnsi="Times New Roman;sans-serif"/>
                  <w:b w:val="false"/>
                  <w:color w:val="0000FF"/>
                  <w:sz w:val="20"/>
                  <w:u w:val="single"/>
                </w:rPr>
                <w:t>Seventh Amended and Restated Limited Liability Company Agreement of Plains All American GP LLC dated November 15, 2016 (incorporated by reference to Exhibit 3.3 to our Current Report on Form 8-K filed November 21, 2016).</w:t>
              </w:r>
            </w:hyperlink>
          </w:p>
        </w:tc>
      </w:tr>
      <w:tr>
        <w:trPr/>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ans-serif" w:hAnsi="Times New Roman;sans-serif"/>
                  <w:b w:val="false"/>
                  <w:color w:val="0000FF"/>
                  <w:sz w:val="20"/>
                  <w:u w:val="single"/>
                </w:rPr>
                <w:t>Eighth Amended and Restated Limited Partnership Agreement of Plains AAP, L.P. dated November 15, 2016 (incorporated by reference to Exhibit 3.4 to our Current Report on Form 8-K filed November 21, 2016).</w:t>
              </w:r>
            </w:hyperlink>
          </w:p>
        </w:tc>
      </w:tr>
      <w:tr>
        <w:trPr/>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ans-serif" w:hAnsi="Times New Roman;sans-serif"/>
                  <w:b w:val="false"/>
                  <w:color w:val="0000FF"/>
                  <w:sz w:val="20"/>
                  <w:u w:val="single"/>
                </w:rPr>
                <w:t>Amendment No. 1 dated September 26, 2018 to the Eighth Amended and Restated Limited Partnership Agreement of Plains AAP, L.P. (incorporated by reference to Exhibit 3.1 to our Current Report on Form 8-K filed October 2, 2018).</w:t>
              </w:r>
            </w:hyperlink>
          </w:p>
        </w:tc>
      </w:tr>
      <w:tr>
        <w:trPr/>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3.10</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ans-serif" w:hAnsi="Times New Roman;sans-serif"/>
                  <w:b w:val="false"/>
                  <w:color w:val="0000FF"/>
                  <w:sz w:val="20"/>
                  <w:u w:val="single"/>
                </w:rPr>
                <w:t>Amendment No. 2 dated May 23, 2019 to the Eighth Amended and Restated Limited Partnership Agreement of Plains AAP, L.P. (incorporated by reference to Exhibit 3.1 to our Current Report on Form 8-K filed May 30, 2019).</w:t>
              </w:r>
            </w:hyperlink>
          </w:p>
        </w:tc>
      </w:tr>
      <w:tr>
        <w:trPr/>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ans-serif" w:hAnsi="Times New Roman;sans-serif"/>
                  <w:b w:val="false"/>
                  <w:color w:val="0000FF"/>
                  <w:sz w:val="20"/>
                  <w:u w:val="single"/>
                </w:rPr>
                <w:t>Amendment No. 3 dated August 17, 2023 to the Eighth Amended and Restated Limited Partnership Agreement of Plains AAP, L.P. (incorporated by reference to Exhibit 3.1 to our Current Report on Form 8-K filed August 21, 2023).</w:t>
              </w:r>
            </w:hyperlink>
          </w:p>
        </w:tc>
      </w:tr>
      <w:tr>
        <w:trPr/>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ans-serif" w:hAnsi="Times New Roman;sans-serif"/>
                  <w:b w:val="false"/>
                  <w:color w:val="0000FF"/>
                  <w:sz w:val="20"/>
                  <w:u w:val="single"/>
                </w:rPr>
                <w:t>Limited Liability Company Agreement of PAA GP LLC dated December 28, 2007 (incorporated by reference to Exhibit 3.3 to PAA’s Current Report on Form 8-K filed January 4, 2008).</w:t>
              </w:r>
            </w:hyperlink>
          </w:p>
        </w:tc>
      </w:tr>
      <w:tr>
        <w:trPr/>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ans-serif" w:hAnsi="Times New Roman;sans-serif"/>
                  <w:b w:val="false"/>
                  <w:color w:val="0000FF"/>
                  <w:sz w:val="20"/>
                  <w:u w:val="single"/>
                </w:rPr>
                <w:t>Indenture dated September 25, 2002 among Plains All American Pipeline, L.P., PAA Finance Corp. and Wachovia Bank, National Association, as trustee (incorporated by reference to Exhibit 4.1 to PAA’s Quarterly Report on Form 10-Q for the quarter ended September 30, 2002).</w:t>
              </w:r>
            </w:hyperlink>
          </w:p>
        </w:tc>
      </w:tr>
      <w:tr>
        <w:trPr/>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ans-serif" w:hAnsi="Times New Roman;sans-serif"/>
                  <w:b w:val="false"/>
                  <w:color w:val="0000FF"/>
                  <w:sz w:val="20"/>
                  <w:u w:val="single"/>
                </w:rPr>
                <w:t>Sixth Supplemental Indenture (Series A and Series B 6.70% Senior Notes due 2036) dated May 12, 2006 among Plains All American Pipeline, L.P., PAA Finance Corp., the Subsidiary Guarantors named therein and Wachovia Bank, National Association, as trustee (incorporated by reference to Exhibit 4.1 to PAA’s Current Report on Form 8-K filed May 12, 2006).</w:t>
              </w:r>
            </w:hyperlink>
          </w:p>
        </w:tc>
      </w:tr>
      <w:tr>
        <w:trPr/>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ans-serif" w:hAnsi="Times New Roman;sans-serif"/>
                  <w:b w:val="false"/>
                  <w:color w:val="0000FF"/>
                  <w:sz w:val="20"/>
                  <w:u w:val="single"/>
                </w:rPr>
                <w:t>Tenth Supplemental Indenture (Series A and Series B 6.650% Senior Notes due 2037) dated October 30, 2006 among Plains All American Pipeline, L.P., PAA Finance Corp., the Subsidiary Guarantors named therein and U.S. Bank National Association, as trustee (incorporated by reference to Exhibit 4.2 to PAA’s Current Report on Form 8-K filed October 30, 2006).</w:t>
              </w:r>
            </w:hyperlink>
          </w:p>
        </w:tc>
      </w:tr>
      <w:tr>
        <w:trPr/>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73bffeb5d0234a1a8b7cd8141a48185f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49"/>
        <w:gridCol w:w="201"/>
        <w:gridCol w:w="206"/>
        <w:gridCol w:w="115"/>
        <w:gridCol w:w="115"/>
        <w:gridCol w:w="116"/>
        <w:gridCol w:w="2740"/>
        <w:gridCol w:w="2668"/>
        <w:gridCol w:w="3795"/>
      </w:tblGrid>
      <w:tr>
        <w:trPr/>
        <w:tc>
          <w:tcPr>
            <w:tcW w:w="24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740" w:type="dxa"/>
            <w:tcBorders/>
            <w:vAlign w:val="center"/>
          </w:tcPr>
          <w:p>
            <w:pPr>
              <w:pStyle w:val="TableContents"/>
              <w:bidi w:val="0"/>
              <w:spacing w:before="0" w:after="283"/>
              <w:jc w:val="left"/>
              <w:rPr>
                <w:sz w:val="4"/>
                <w:szCs w:val="4"/>
              </w:rPr>
            </w:pPr>
            <w:r>
              <w:rPr>
                <w:sz w:val="4"/>
                <w:szCs w:val="4"/>
              </w:rPr>
            </w:r>
          </w:p>
        </w:tc>
        <w:tc>
          <w:tcPr>
            <w:tcW w:w="2668" w:type="dxa"/>
            <w:tcBorders/>
            <w:vAlign w:val="center"/>
          </w:tcPr>
          <w:p>
            <w:pPr>
              <w:pStyle w:val="TableContents"/>
              <w:bidi w:val="0"/>
              <w:spacing w:before="0" w:after="283"/>
              <w:jc w:val="left"/>
              <w:rPr>
                <w:sz w:val="4"/>
                <w:szCs w:val="4"/>
              </w:rPr>
            </w:pPr>
            <w:r>
              <w:rPr>
                <w:sz w:val="4"/>
                <w:szCs w:val="4"/>
              </w:rPr>
            </w:r>
          </w:p>
        </w:tc>
        <w:tc>
          <w:tcPr>
            <w:tcW w:w="3795" w:type="dxa"/>
            <w:tcBorders/>
            <w:vAlign w:val="center"/>
          </w:tcPr>
          <w:p>
            <w:pPr>
              <w:pStyle w:val="TableContents"/>
              <w:bidi w:val="0"/>
              <w:spacing w:before="0" w:after="283"/>
              <w:jc w:val="left"/>
              <w:rPr>
                <w:sz w:val="4"/>
                <w:szCs w:val="4"/>
              </w:rPr>
            </w:pPr>
            <w:r>
              <w:rPr>
                <w:sz w:val="4"/>
                <w:szCs w:val="4"/>
              </w:rPr>
            </w:r>
          </w:p>
        </w:tc>
      </w:tr>
      <w:tr>
        <w:trPr/>
        <w:tc>
          <w:tcPr>
            <w:tcW w:w="6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ans-serif" w:hAnsi="Times New Roman;sans-serif"/>
                  <w:b w:val="false"/>
                  <w:color w:val="0000FF"/>
                  <w:sz w:val="20"/>
                  <w:u w:val="single"/>
                </w:rPr>
                <w:t>Twenty-First Supplemental Indenture (5.15% Senior Notes due 2042) dated March 22, 2012 among Plains All American Pipeline, L.P., PAA Finance Corp and U.S. Bank National Association, as trustee (incorporated by reference to Exhibit 4.3 to PAA’s Current Report on Form 8-K filed March 26, 2012).</w:t>
              </w:r>
            </w:hyperlink>
          </w:p>
        </w:tc>
      </w:tr>
      <w:tr>
        <w:trPr/>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ans-serif" w:hAnsi="Times New Roman;sans-serif"/>
                  <w:b w:val="false"/>
                  <w:color w:val="0000FF"/>
                  <w:sz w:val="20"/>
                  <w:u w:val="single"/>
                </w:rPr>
                <w:t>Twenty-Third Supplemental Indenture (4.30% Senior Notes due 2043) dated December 10, 2012, by and among Plains All American Pipeline, L.P., PAA Finance Corp. and U.S. Bank National Association, as trustee (incorporated by reference to Exhibit 4.3 to PAA’s Current Report on Form 8-K filed December 12, 2012).</w:t>
              </w:r>
            </w:hyperlink>
          </w:p>
        </w:tc>
      </w:tr>
      <w:tr>
        <w:trPr/>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ans-serif" w:hAnsi="Times New Roman;sans-serif"/>
                  <w:b w:val="false"/>
                  <w:color w:val="0000FF"/>
                  <w:sz w:val="20"/>
                  <w:u w:val="single"/>
                </w:rPr>
                <w:t>Twenty-Fifth Supplemental Indenture (4.70% Senior Notes due 2044) dated April 23, 2014, by and among Plains All American Pipeline, L.P., PAA Finance Corp. and U.S. Bank National Association, as trustee (incorporated by reference to Exhibit 4.1 to our Current Report on Form 8-K filed April 29, 2014).</w:t>
              </w:r>
            </w:hyperlink>
          </w:p>
        </w:tc>
      </w:tr>
      <w:tr>
        <w:trPr/>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ans-serif" w:hAnsi="Times New Roman;sans-serif"/>
                  <w:b w:val="false"/>
                  <w:color w:val="0000FF"/>
                  <w:sz w:val="20"/>
                  <w:u w:val="single"/>
                </w:rPr>
                <w:t>Twenty-Sixth Supplemental Indenture (3.60% Senior Notes due 2024) dated September 9, 2014, by and among Plains All American Pipeline, L.P., PAA Finance Corp. and U.S. Bank National Association, as trustee (incorporated by reference to Exhibit 4.1 to our Current Report on Form 8-K filed September 11, 2014).</w:t>
              </w:r>
            </w:hyperlink>
          </w:p>
        </w:tc>
      </w:tr>
      <w:tr>
        <w:trPr/>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ans-serif" w:hAnsi="Times New Roman;sans-serif"/>
                  <w:b w:val="false"/>
                  <w:color w:val="0000FF"/>
                  <w:sz w:val="20"/>
                  <w:u w:val="single"/>
                </w:rPr>
                <w:t>Twenty-Eighth Supplemental Indenture (4.90% Senior Notes due 2045) dated December 9, 2014, by and among Plains All American Pipeline, L.P., PAA Finance Corp., and U.S. Bank National Association, as trustee (incorporated by reference to Exhibit 4.3 to our Current Report on Form 8-K filed December 11, 2014).</w:t>
              </w:r>
            </w:hyperlink>
          </w:p>
        </w:tc>
      </w:tr>
      <w:tr>
        <w:trPr/>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ans-serif" w:hAnsi="Times New Roman;sans-serif"/>
                  <w:b w:val="false"/>
                  <w:color w:val="0000FF"/>
                  <w:sz w:val="20"/>
                  <w:u w:val="single"/>
                </w:rPr>
                <w:t>Twenty-Ninth Supplemental Indenture (4.65% Senior Notes due 2025) dated August 24, 2015, by and among Plains All American Pipeline, L.P., PAA Finance Corp., and U.S. Bank National Association, as trustee (incorporated by reference to Exhibit 4.1 to PAA’s Current Report on Form 8-K filed August 26, 2015).</w:t>
              </w:r>
            </w:hyperlink>
          </w:p>
        </w:tc>
      </w:tr>
      <w:tr>
        <w:trPr/>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4.10</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ans-serif" w:hAnsi="Times New Roman;sans-serif"/>
                  <w:b w:val="false"/>
                  <w:color w:val="0000FF"/>
                  <w:sz w:val="20"/>
                  <w:u w:val="single"/>
                </w:rPr>
                <w:t>Thirtieth Supplemental Indenture (4.50% Senior Notes due 2026) dated November 22, 2016, by and among Plains All American Pipeline, L.P., PAA Finance Corp., and U.S. Bank National Association, as trustee (incorporated by reference to Exhibit 4.1 to PAA’s Current Report on Form 8-K filed November 29, 2016).</w:t>
              </w:r>
            </w:hyperlink>
          </w:p>
        </w:tc>
      </w:tr>
      <w:tr>
        <w:trPr/>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4.11</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ans-serif" w:hAnsi="Times New Roman;sans-serif"/>
                  <w:b w:val="false"/>
                  <w:color w:val="0000FF"/>
                  <w:sz w:val="20"/>
                  <w:u w:val="single"/>
                </w:rPr>
                <w:t>Thirty-First Supplemental Indenture (3.55% Senior Notes due 2029) dated September 16, 2019, by and among Plains All American Pipeline, L.P., PAA Finance Corp. and U.S. Bank National Association, as trustee (incorporated by reference to Exhibit 4.1 to PAA’s Current Report on Form 8-K filed September 17, 2019).</w:t>
              </w:r>
            </w:hyperlink>
          </w:p>
        </w:tc>
      </w:tr>
      <w:tr>
        <w:trPr/>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4.12</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ans-serif" w:hAnsi="Times New Roman;sans-serif"/>
                  <w:b w:val="false"/>
                  <w:color w:val="0000FF"/>
                  <w:sz w:val="20"/>
                  <w:u w:val="single"/>
                </w:rPr>
                <w:t>Thirty-Second Supplemental Indenture (3.80% Senior Notes due 2030) dated June 11, 2020, by and among Plains All American Pipeline, L.P., PAA Finance Corp. and U.S. Bank National Association, as trustee (incorporated by reference to Exhibit 4.1 to PAA’s Current Report on Form 8-K filed June 11, 2020).</w:t>
              </w:r>
            </w:hyperlink>
          </w:p>
        </w:tc>
      </w:tr>
      <w:tr>
        <w:trPr/>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4.13</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ans-serif" w:hAnsi="Times New Roman;sans-serif"/>
                  <w:b w:val="false"/>
                  <w:color w:val="0000FF"/>
                  <w:sz w:val="20"/>
                  <w:u w:val="single"/>
                </w:rPr>
                <w:t>Shareholder and Registration Rights Agreement dated October 21, 2013 by and among Plains GP Holdings, L.P. and the other parties signatory thereto (incorporated by reference to Exhibit 4.1 to our Current Report on Form 8-K filed October 25, 2013).</w:t>
              </w:r>
            </w:hyperlink>
          </w:p>
        </w:tc>
      </w:tr>
      <w:tr>
        <w:trPr/>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4.14</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ans-serif" w:hAnsi="Times New Roman;sans-serif"/>
                  <w:b w:val="false"/>
                  <w:color w:val="000080"/>
                  <w:sz w:val="20"/>
                  <w:u w:val="single"/>
                </w:rPr>
                <w:t>Description of Our Securities (incorporated by reference to Exhibit 4.1</w:t>
              </w:r>
            </w:hyperlink>
            <w:hyperlink r:id="rId28">
              <w:r>
                <w:rPr>
                  <w:rStyle w:val="InternetLink"/>
                  <w:rFonts w:ascii="Times New Roman;sans-serif" w:hAnsi="Times New Roman;sans-serif"/>
                  <w:b w:val="false"/>
                  <w:color w:val="000080"/>
                  <w:sz w:val="20"/>
                  <w:u w:val="single"/>
                </w:rPr>
                <w:t>4</w:t>
              </w:r>
            </w:hyperlink>
            <w:hyperlink r:id="rId29">
              <w:r>
                <w:rPr>
                  <w:rStyle w:val="InternetLink"/>
                  <w:rFonts w:ascii="Times New Roman;sans-serif" w:hAnsi="Times New Roman;sans-serif"/>
                  <w:b w:val="false"/>
                  <w:color w:val="000080"/>
                  <w:sz w:val="20"/>
                  <w:u w:val="single"/>
                </w:rPr>
                <w:t xml:space="preserve"> to our Annual Report on Form 10-K for the year ended December 31, 202</w:t>
              </w:r>
            </w:hyperlink>
            <w:hyperlink r:id="rId30">
              <w:r>
                <w:rPr>
                  <w:rStyle w:val="InternetLink"/>
                  <w:rFonts w:ascii="Times New Roman;sans-serif" w:hAnsi="Times New Roman;sans-serif"/>
                  <w:b w:val="false"/>
                  <w:color w:val="000080"/>
                  <w:sz w:val="20"/>
                  <w:u w:val="single"/>
                </w:rPr>
                <w:t>3</w:t>
              </w:r>
            </w:hyperlink>
            <w:hyperlink r:id="rId31">
              <w:r>
                <w:rPr>
                  <w:rStyle w:val="InternetLink"/>
                  <w:rFonts w:ascii="Times New Roman;sans-serif" w:hAnsi="Times New Roman;sans-serif"/>
                  <w:b w:val="false"/>
                  <w:color w:val="000080"/>
                  <w:sz w:val="20"/>
                  <w:u w:val="single"/>
                </w:rPr>
                <w:t>).</w:t>
              </w:r>
            </w:hyperlink>
          </w:p>
        </w:tc>
      </w:tr>
      <w:tr>
        <w:trPr/>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 †</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agpq12024exhibit311.htm">
              <w:r>
                <w:rPr>
                  <w:rStyle w:val="InternetLink"/>
                  <w:rFonts w:ascii="Times New Roman;sans-serif" w:hAnsi="Times New Roman;sans-serif"/>
                  <w:b w:val="false"/>
                  <w:color w:val="0000FF"/>
                  <w:sz w:val="20"/>
                  <w:u w:val="single"/>
                </w:rPr>
                <w:t>Certification of Principal Executive Officer pursuant to Exchange Act Rules 13a-14(a) and 15d-14(a).</w:t>
              </w:r>
            </w:hyperlink>
          </w:p>
        </w:tc>
      </w:tr>
      <w:tr>
        <w:trPr/>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agpq12024exhibit312.htm">
              <w:r>
                <w:rPr>
                  <w:rStyle w:val="InternetLink"/>
                  <w:rFonts w:ascii="Times New Roman;sans-serif" w:hAnsi="Times New Roman;sans-serif"/>
                  <w:b w:val="false"/>
                  <w:color w:val="0000FF"/>
                  <w:sz w:val="20"/>
                  <w:u w:val="single"/>
                </w:rPr>
                <w:t>Certification of Principal Financial Officer pursuant to Exchange Act Rules 13a-14(a) and 15d-14(a).</w:t>
              </w:r>
            </w:hyperlink>
          </w:p>
        </w:tc>
      </w:tr>
      <w:tr>
        <w:trPr/>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agpq12024exhibit321.htm">
              <w:r>
                <w:rPr>
                  <w:rStyle w:val="InternetLink"/>
                  <w:rFonts w:ascii="Times New Roman;sans-serif" w:hAnsi="Times New Roman;sans-serif"/>
                  <w:b w:val="false"/>
                  <w:color w:val="0000FF"/>
                  <w:sz w:val="20"/>
                  <w:u w:val="single"/>
                </w:rPr>
                <w:t>Certification of Principal Executive Officer pursuant to 18 U.S.C. 1350.</w:t>
              </w:r>
            </w:hyperlink>
          </w:p>
        </w:tc>
      </w:tr>
      <w:tr>
        <w:trPr/>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 ††</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agpq12024exhibit322.htm">
              <w:r>
                <w:rPr>
                  <w:rStyle w:val="InternetLink"/>
                  <w:rFonts w:ascii="Times New Roman;sans-serif" w:hAnsi="Times New Roman;sans-serif"/>
                  <w:b w:val="false"/>
                  <w:color w:val="0000FF"/>
                  <w:sz w:val="20"/>
                  <w:u w:val="single"/>
                </w:rPr>
                <w:t>Certification of Principal Financial Officer pursuant to 18 U.S.C. 1350.</w:t>
              </w:r>
            </w:hyperlink>
          </w:p>
        </w:tc>
      </w:tr>
      <w:tr>
        <w:trPr/>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 - the instance document does not appear in the Interactive Data File because its XBRL tags are embedded within the Inline XBRL document.</w:t>
            </w:r>
          </w:p>
        </w:tc>
      </w:tr>
      <w:tr>
        <w:trPr/>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73bffeb5d0234a1a8b7cd8141a48185f_7">
        <w:r>
          <w:rPr>
            <w:rStyle w:val="InternetLink"/>
            <w:rFonts w:ascii="Times New Roman;sans-serif" w:hAnsi="Times New Roman;sans-serif"/>
            <w:b w:val="false"/>
            <w:color w:val="0000FF"/>
            <w:sz w:val="20"/>
            <w:u w:val="single"/>
          </w:rPr>
          <w:t>Table of Contents</w:t>
        </w:r>
      </w:hyperlink>
    </w:p>
    <w:tbl>
      <w:tblPr>
        <w:tblW w:w="8775" w:type="dxa"/>
        <w:jc w:val="left"/>
        <w:tblInd w:w="0" w:type="dxa"/>
        <w:tblLayout w:type="fixed"/>
        <w:tblCellMar>
          <w:top w:w="28" w:type="dxa"/>
          <w:left w:w="28" w:type="dxa"/>
          <w:bottom w:w="28" w:type="dxa"/>
          <w:right w:w="28" w:type="dxa"/>
        </w:tblCellMar>
      </w:tblPr>
      <w:tblGrid>
        <w:gridCol w:w="353"/>
        <w:gridCol w:w="310"/>
        <w:gridCol w:w="312"/>
        <w:gridCol w:w="115"/>
        <w:gridCol w:w="115"/>
        <w:gridCol w:w="116"/>
        <w:gridCol w:w="2179"/>
        <w:gridCol w:w="2179"/>
        <w:gridCol w:w="3096"/>
      </w:tblGrid>
      <w:tr>
        <w:trPr/>
        <w:tc>
          <w:tcPr>
            <w:tcW w:w="35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179" w:type="dxa"/>
            <w:tcBorders/>
            <w:vAlign w:val="center"/>
          </w:tcPr>
          <w:p>
            <w:pPr>
              <w:pStyle w:val="TableContents"/>
              <w:bidi w:val="0"/>
              <w:spacing w:before="0" w:after="283"/>
              <w:jc w:val="left"/>
              <w:rPr>
                <w:sz w:val="4"/>
                <w:szCs w:val="4"/>
              </w:rPr>
            </w:pPr>
            <w:r>
              <w:rPr>
                <w:sz w:val="4"/>
                <w:szCs w:val="4"/>
              </w:rPr>
            </w:r>
          </w:p>
        </w:tc>
        <w:tc>
          <w:tcPr>
            <w:tcW w:w="2179" w:type="dxa"/>
            <w:tcBorders/>
            <w:vAlign w:val="center"/>
          </w:tcPr>
          <w:p>
            <w:pPr>
              <w:pStyle w:val="TableContents"/>
              <w:bidi w:val="0"/>
              <w:spacing w:before="0" w:after="283"/>
              <w:jc w:val="left"/>
              <w:rPr>
                <w:sz w:val="4"/>
                <w:szCs w:val="4"/>
              </w:rPr>
            </w:pPr>
            <w:r>
              <w:rPr>
                <w:sz w:val="4"/>
                <w:szCs w:val="4"/>
              </w:rPr>
            </w:r>
          </w:p>
        </w:tc>
        <w:tc>
          <w:tcPr>
            <w:tcW w:w="3096" w:type="dxa"/>
            <w:tcBorders/>
            <w:vAlign w:val="center"/>
          </w:tcPr>
          <w:p>
            <w:pPr>
              <w:pStyle w:val="TableContents"/>
              <w:bidi w:val="0"/>
              <w:spacing w:before="0" w:after="283"/>
              <w:jc w:val="left"/>
              <w:rPr>
                <w:sz w:val="4"/>
                <w:szCs w:val="4"/>
              </w:rPr>
            </w:pPr>
            <w:r>
              <w:rPr>
                <w:sz w:val="4"/>
                <w:szCs w:val="4"/>
              </w:rPr>
            </w:r>
          </w:p>
        </w:tc>
      </w:tr>
      <w:tr>
        <w:trPr/>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jc w:val="left"/>
        <w:rPr>
          <w:color w:val="000000"/>
        </w:rPr>
      </w:pPr>
      <w:r>
        <w:rPr>
          <w:color w:val="000000"/>
        </w:rPr>
        <w:t>†    </w:t>
      </w:r>
      <w:r>
        <w:rPr>
          <w:rFonts w:ascii="Times New Roman;sans-serif" w:hAnsi="Times New Roman;sans-serif"/>
          <w:b w:val="false"/>
          <w:color w:val="000000"/>
          <w:sz w:val="20"/>
        </w:rPr>
        <w:t>Filed herewith.</w:t>
      </w:r>
    </w:p>
    <w:p>
      <w:pPr>
        <w:pStyle w:val="TextBody"/>
        <w:bidi w:val="0"/>
        <w:spacing w:lineRule="auto" w:line="288" w:before="0" w:after="120"/>
        <w:jc w:val="left"/>
        <w:rPr>
          <w:color w:val="000000"/>
        </w:rPr>
      </w:pPr>
      <w:r>
        <w:rPr>
          <w:color w:val="000000"/>
        </w:rPr>
        <w:t>††    </w:t>
      </w:r>
      <w:r>
        <w:rPr>
          <w:rFonts w:ascii="Times New Roman;sans-serif" w:hAnsi="Times New Roman;sans-serif"/>
          <w:b w:val="false"/>
          <w:color w:val="000000"/>
          <w:sz w:val="20"/>
        </w:rPr>
        <w:t>Furnished herewith.</w:t>
      </w:r>
    </w:p>
    <w:p>
      <w:pPr>
        <w:pStyle w:val="TextBody"/>
        <w:bidi w:val="0"/>
        <w:spacing w:lineRule="auto" w:line="288" w:before="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Management compensatory plan or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73bffeb5d0234a1a8b7cd8141a48185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9768" w:type="dxa"/>
        <w:jc w:val="left"/>
        <w:tblInd w:w="0" w:type="dxa"/>
        <w:tblLayout w:type="fixed"/>
        <w:tblCellMar>
          <w:top w:w="28" w:type="dxa"/>
          <w:left w:w="28" w:type="dxa"/>
          <w:bottom w:w="28" w:type="dxa"/>
          <w:right w:w="28" w:type="dxa"/>
        </w:tblCellMar>
      </w:tblPr>
      <w:tblGrid>
        <w:gridCol w:w="417"/>
        <w:gridCol w:w="368"/>
        <w:gridCol w:w="370"/>
        <w:gridCol w:w="416"/>
        <w:gridCol w:w="416"/>
        <w:gridCol w:w="416"/>
        <w:gridCol w:w="2136"/>
        <w:gridCol w:w="2136"/>
        <w:gridCol w:w="3093"/>
      </w:tblGrid>
      <w:tr>
        <w:trPr/>
        <w:tc>
          <w:tcPr>
            <w:tcW w:w="41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2136" w:type="dxa"/>
            <w:tcBorders/>
            <w:vAlign w:val="center"/>
          </w:tcPr>
          <w:p>
            <w:pPr>
              <w:pStyle w:val="TableContents"/>
              <w:bidi w:val="0"/>
              <w:spacing w:before="0" w:after="283"/>
              <w:jc w:val="left"/>
              <w:rPr>
                <w:sz w:val="4"/>
                <w:szCs w:val="4"/>
              </w:rPr>
            </w:pPr>
            <w:r>
              <w:rPr>
                <w:sz w:val="4"/>
                <w:szCs w:val="4"/>
              </w:rPr>
            </w:r>
          </w:p>
        </w:tc>
        <w:tc>
          <w:tcPr>
            <w:tcW w:w="2136" w:type="dxa"/>
            <w:tcBorders/>
            <w:vAlign w:val="center"/>
          </w:tcPr>
          <w:p>
            <w:pPr>
              <w:pStyle w:val="TableContents"/>
              <w:bidi w:val="0"/>
              <w:spacing w:before="0" w:after="283"/>
              <w:jc w:val="left"/>
              <w:rPr>
                <w:sz w:val="4"/>
                <w:szCs w:val="4"/>
              </w:rPr>
            </w:pPr>
            <w:r>
              <w:rPr>
                <w:sz w:val="4"/>
                <w:szCs w:val="4"/>
              </w:rPr>
            </w:r>
          </w:p>
        </w:tc>
        <w:tc>
          <w:tcPr>
            <w:tcW w:w="3093"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1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PLAINS GP HOLDINGS, L.P.</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PAA GP HOLDINGS LLC,</w:t>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its general partner</w:t>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Willie Chiang</w:t>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Willie Chiang,</w:t>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i/>
                <w:color w:val="000000"/>
                <w:sz w:val="20"/>
              </w:rPr>
            </w:pPr>
            <w:r>
              <w:rPr>
                <w:rFonts w:ascii="Times New Roman;sans-serif" w:hAnsi="Times New Roman;sans-serif"/>
                <w:b/>
                <w:i/>
                <w:color w:val="000000"/>
                <w:sz w:val="20"/>
              </w:rPr>
              <w:t>Chairman of the Board and Chief Executive Officer of PAA GP Holdings LLC</w:t>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(Principal Executive Officer)</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9, 2024</w:t>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Al Swanson</w:t>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Al Swanson,</w:t>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Executive Vice President and Chief Financial Officer of PAA GP Holdings LLC</w:t>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(Principal Financial Officer)</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9, 2024</w:t>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Chris Herbold</w:t>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Chris Herbold,</w:t>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Senior Vice President, Finance and Chief Accounting Officer of PAA GP Holdings LLC</w:t>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(Principal Accounting Officer)</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9, 2024</w:t>
            </w:r>
          </w:p>
        </w:tc>
        <w:tc>
          <w:tcPr>
            <w:tcW w:w="8613"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Willie Chiang,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Plains GP Holdings, L.P. (the “registrant”);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May 9, 2024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bl>
      <w:tblPr>
        <w:tblW w:w="2085" w:type="dxa"/>
        <w:jc w:val="left"/>
        <w:tblInd w:w="0" w:type="dxa"/>
        <w:tblLayout w:type="fixed"/>
        <w:tblCellMar>
          <w:top w:w="28" w:type="dxa"/>
          <w:left w:w="28" w:type="dxa"/>
          <w:bottom w:w="28" w:type="dxa"/>
          <w:right w:w="28" w:type="dxa"/>
        </w:tblCellMar>
      </w:tblPr>
      <w:tblGrid>
        <w:gridCol w:w="667"/>
        <w:gridCol w:w="585"/>
        <w:gridCol w:w="833"/>
      </w:tblGrid>
      <w:tr>
        <w:trPr/>
        <w:tc>
          <w:tcPr>
            <w:tcW w:w="667"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Willie Chiang</w:t>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Willie Chiang</w:t>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Al Swanson,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Plains GP Holdings, L.P. (the “registrant”);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May 9, 2024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bl>
      <w:tblPr>
        <w:tblW w:w="2024" w:type="dxa"/>
        <w:jc w:val="left"/>
        <w:tblInd w:w="0" w:type="dxa"/>
        <w:tblLayout w:type="fixed"/>
        <w:tblCellMar>
          <w:top w:w="28" w:type="dxa"/>
          <w:left w:w="28" w:type="dxa"/>
          <w:bottom w:w="28" w:type="dxa"/>
          <w:right w:w="28" w:type="dxa"/>
        </w:tblCellMar>
      </w:tblPr>
      <w:tblGrid>
        <w:gridCol w:w="647"/>
        <w:gridCol w:w="568"/>
        <w:gridCol w:w="809"/>
      </w:tblGrid>
      <w:tr>
        <w:trPr/>
        <w:tc>
          <w:tcPr>
            <w:tcW w:w="647"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Al Swanson</w:t>
            </w:r>
          </w:p>
        </w:tc>
      </w:tr>
      <w:tr>
        <w:trPr/>
        <w:tc>
          <w:tcPr>
            <w:tcW w:w="2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 Swanson</w:t>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CHIEF EXECUTIVE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PLAINS GP HOLDINGS, L.P.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18 U.S.C. 1350</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Willie Chiang, Chief Executive Officer of Plains GP Holdings, L.P. (the “Company”), hereby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            the accompanying report on Form 10-Q for the period ended March 31, 2024 and filed with the Securities and Exchange Commission on the date hereof (the “Report”) by the Company fully complies with the requirements of Section 13(a) or 15(d) of the Securities Exchange Act of 1934, as amended;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(ii)           the information contained in the Report fairly presents, in all material respects, the financial condition and results of operations of the Company.</w:t>
      </w:r>
    </w:p>
    <w:p>
      <w:pPr>
        <w:pStyle w:val="TextBody"/>
        <w:bidi w:val="0"/>
        <w:spacing w:before="0" w:after="0"/>
        <w:ind w:left="0" w:right="0" w:firstLine="720"/>
        <w:jc w:val="left"/>
        <w:rPr/>
      </w:pPr>
      <w:r>
        <w:rPr/>
      </w:r>
    </w:p>
    <w:p>
      <w:pPr>
        <w:pStyle w:val="TextBody"/>
        <w:bidi w:val="0"/>
        <w:spacing w:lineRule="auto" w:line="288" w:before="0" w:after="0"/>
        <w:jc w:val="left"/>
        <w:rPr>
          <w:color w:val="000000"/>
        </w:rPr>
      </w:pPr>
      <w:r>
        <w:rPr>
          <w:color w:val="000000"/>
        </w:rPr>
        <w:t> </w:t>
      </w:r>
    </w:p>
    <w:tbl>
      <w:tblPr>
        <w:tblW w:w="1889" w:type="dxa"/>
        <w:jc w:val="left"/>
        <w:tblInd w:w="0" w:type="dxa"/>
        <w:tblLayout w:type="fixed"/>
        <w:tblCellMar>
          <w:top w:w="28" w:type="dxa"/>
          <w:left w:w="28" w:type="dxa"/>
          <w:bottom w:w="28" w:type="dxa"/>
          <w:right w:w="28" w:type="dxa"/>
        </w:tblCellMar>
      </w:tblPr>
      <w:tblGrid>
        <w:gridCol w:w="604"/>
        <w:gridCol w:w="530"/>
        <w:gridCol w:w="755"/>
      </w:tblGrid>
      <w:tr>
        <w:trPr/>
        <w:tc>
          <w:tcPr>
            <w:tcW w:w="604"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Willie Chiang</w:t>
            </w:r>
          </w:p>
        </w:tc>
      </w:tr>
      <w:tr>
        <w:trPr/>
        <w:tc>
          <w:tcPr>
            <w:tcW w:w="1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Willie Chiang</w:t>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9, 2024</w:t>
            </w:r>
          </w:p>
        </w:tc>
      </w:tr>
    </w:tbl>
    <w:p>
      <w:pPr>
        <w:pStyle w:val="TextBody"/>
        <w:bidi w:val="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CHIEF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PLAINS GP HOLDINGS, L.P.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18 U.S.C. 1350</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Al Swanson, Chief Financial Officer of Plains GP Holdings, L.P. (the “Company”), hereby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            the accompanying report on Form 10-Q for the period ended March 31, 2024 and filed with the Securities and Exchange Commission on the date hereof (the “Report”) by the Company fully complies with the requirements of Section 13(a) or 15(d) of the Securities Exchange Act of 1934, as amended;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(ii)           the information contained in the Report fairly presents, in all material respects, the financial condition and results of operations of the Company.</w:t>
      </w:r>
    </w:p>
    <w:p>
      <w:pPr>
        <w:pStyle w:val="TextBody"/>
        <w:bidi w:val="0"/>
        <w:spacing w:before="0" w:after="0"/>
        <w:ind w:left="0" w:right="0" w:firstLine="720"/>
        <w:jc w:val="left"/>
        <w:rPr/>
      </w:pPr>
      <w:r>
        <w:rPr/>
      </w:r>
    </w:p>
    <w:p>
      <w:pPr>
        <w:pStyle w:val="TextBody"/>
        <w:bidi w:val="0"/>
        <w:spacing w:lineRule="auto" w:line="288" w:before="0" w:after="0"/>
        <w:jc w:val="left"/>
        <w:rPr>
          <w:color w:val="000000"/>
        </w:rPr>
      </w:pPr>
      <w:r>
        <w:rPr>
          <w:color w:val="000000"/>
        </w:rPr>
        <w:t> </w:t>
      </w:r>
    </w:p>
    <w:tbl>
      <w:tblPr>
        <w:tblW w:w="1695" w:type="dxa"/>
        <w:jc w:val="left"/>
        <w:tblInd w:w="0" w:type="dxa"/>
        <w:tblLayout w:type="fixed"/>
        <w:tblCellMar>
          <w:top w:w="28" w:type="dxa"/>
          <w:left w:w="28" w:type="dxa"/>
          <w:bottom w:w="28" w:type="dxa"/>
          <w:right w:w="28" w:type="dxa"/>
        </w:tblCellMar>
      </w:tblPr>
      <w:tblGrid>
        <w:gridCol w:w="542"/>
        <w:gridCol w:w="476"/>
        <w:gridCol w:w="677"/>
      </w:tblGrid>
      <w:tr>
        <w:trPr/>
        <w:tc>
          <w:tcPr>
            <w:tcW w:w="542"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Al Swanson</w:t>
            </w:r>
          </w:p>
        </w:tc>
      </w:tr>
      <w:tr>
        <w:trPr/>
        <w:tc>
          <w:tcPr>
            <w:tcW w:w="16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Al Swanson</w:t>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9, 2024</w:t>
            </w:r>
          </w:p>
        </w:tc>
      </w:tr>
    </w:tbl>
    <w:p>
      <w:pPr>
        <w:pStyle w:val="TextBody"/>
        <w:bidi w:val="0"/>
        <w:jc w:val="righ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81990/000104746913007875/a2216069zex-3_1.htm" TargetMode="External"/><Relationship Id="rId3" Type="http://schemas.openxmlformats.org/officeDocument/2006/relationships/hyperlink" Target="https://www.sec.gov/Archives/edgar/data/1581990/000110465916158356/a16-21845_1ex3d2.htm" TargetMode="External"/><Relationship Id="rId4" Type="http://schemas.openxmlformats.org/officeDocument/2006/relationships/hyperlink" Target="https://www.sec.gov/Archives/edgar/data/1581990/000158199020000012/exhibit31.htm" TargetMode="External"/><Relationship Id="rId5" Type="http://schemas.openxmlformats.org/officeDocument/2006/relationships/hyperlink" Target="https://www.sec.gov/Archives/edgar/data/1581990/000104746913007875/a2216069zex-3_3.htm" TargetMode="External"/><Relationship Id="rId6" Type="http://schemas.openxmlformats.org/officeDocument/2006/relationships/hyperlink" Target="https://www.sec.gov/Archives/edgar/data/1581990/000158199022000006/pagp202110-kexhibit311a.htm" TargetMode="External"/><Relationship Id="rId7" Type="http://schemas.openxmlformats.org/officeDocument/2006/relationships/hyperlink" Target="https://www.sec.gov/Archives/edgar/data/1070423/000110465917061889/a17-22685_5ex3d1.htm" TargetMode="External"/><Relationship Id="rId8" Type="http://schemas.openxmlformats.org/officeDocument/2006/relationships/hyperlink" Target="https://www.sec.gov/Archives/edgar/data/1581990/000110465916158356/a16-21845_1ex3d3.htm" TargetMode="External"/><Relationship Id="rId9" Type="http://schemas.openxmlformats.org/officeDocument/2006/relationships/hyperlink" Target="https://www.sec.gov/Archives/edgar/data/1581990/000110465916158356/a16-21845_1ex3d4.htm" TargetMode="External"/><Relationship Id="rId10" Type="http://schemas.openxmlformats.org/officeDocument/2006/relationships/hyperlink" Target="https://www.sec.gov/Archives/edgar/data/1581990/000110465918060012/a18-36197_1ex3d1.htm" TargetMode="External"/><Relationship Id="rId11" Type="http://schemas.openxmlformats.org/officeDocument/2006/relationships/hyperlink" Target="https://www.sec.gov/Archives/edgar/data/1581990/000110465919032813/a19-10857_1ex3d1.htm" TargetMode="External"/><Relationship Id="rId12" Type="http://schemas.openxmlformats.org/officeDocument/2006/relationships/hyperlink" Target="https://www.sec.gov/Archives/edgar/data/1581990/000110465923093996/tm2324102d2_ex3-1.htm" TargetMode="External"/><Relationship Id="rId13" Type="http://schemas.openxmlformats.org/officeDocument/2006/relationships/hyperlink" Target="https://www.sec.gov/Archives/edgar/data/1070423/000095012908000071/h52770exv3w3.htm" TargetMode="External"/><Relationship Id="rId14" Type="http://schemas.openxmlformats.org/officeDocument/2006/relationships/hyperlink" Target="https://www.sec.gov/Archives/edgar/data/1070423/000089924302002834/dex41.txt" TargetMode="External"/><Relationship Id="rId15" Type="http://schemas.openxmlformats.org/officeDocument/2006/relationships/hyperlink" Target="https://www.sec.gov/Archives/edgar/data/1070423/000110465906034368/a06-11663_1ex4d1.htm" TargetMode="External"/><Relationship Id="rId16" Type="http://schemas.openxmlformats.org/officeDocument/2006/relationships/hyperlink" Target="https://www.sec.gov/Archives/edgar/data/1070423/000095012906009235/h40667exv4w2.htm" TargetMode="External"/><Relationship Id="rId17" Type="http://schemas.openxmlformats.org/officeDocument/2006/relationships/hyperlink" Target="https://www.sec.gov/Archives/edgar/data/1070423/000119312512132295/d321017dex43.htm" TargetMode="External"/><Relationship Id="rId18" Type="http://schemas.openxmlformats.org/officeDocument/2006/relationships/hyperlink" Target="https://www.sec.gov/Archives/edgar/data/1070423/000119312512499932/d453762dex43.htm" TargetMode="External"/><Relationship Id="rId19" Type="http://schemas.openxmlformats.org/officeDocument/2006/relationships/hyperlink" Target="https://www.sec.gov/Archives/edgar/data/1581990/000119312514164185/d717953dex41.htm" TargetMode="External"/><Relationship Id="rId20" Type="http://schemas.openxmlformats.org/officeDocument/2006/relationships/hyperlink" Target="https://www.sec.gov/Archives/edgar/data/1581990/000119312514338295/d787197dex41.htm" TargetMode="External"/><Relationship Id="rId21" Type="http://schemas.openxmlformats.org/officeDocument/2006/relationships/hyperlink" Target="https://www.sec.gov/Archives/edgar/data/1581990/000119312514440012/d835488dex43.htm" TargetMode="External"/><Relationship Id="rId22" Type="http://schemas.openxmlformats.org/officeDocument/2006/relationships/hyperlink" Target="https://www.sec.gov/Archives/edgar/data/1070423/000119312515302829/d45393dex41.htm" TargetMode="External"/><Relationship Id="rId23" Type="http://schemas.openxmlformats.org/officeDocument/2006/relationships/hyperlink" Target="https://www.sec.gov/Archives/edgar/data/1070423/000110465916159593/a16-22232_1ex4d1.htm" TargetMode="External"/><Relationship Id="rId24" Type="http://schemas.openxmlformats.org/officeDocument/2006/relationships/hyperlink" Target="https://www.sec.gov/Archives/edgar/data/1070423/000141057819001281/tv529555_ex4-1.htm" TargetMode="External"/><Relationship Id="rId25" Type="http://schemas.openxmlformats.org/officeDocument/2006/relationships/hyperlink" Target="https://www.sec.gov/Archives/edgar/data/1070423/000110465920072270/tm2022235d1_ex4-1.htm" TargetMode="External"/><Relationship Id="rId26" Type="http://schemas.openxmlformats.org/officeDocument/2006/relationships/hyperlink" Target="https://www.sec.gov/Archives/edgar/data/1581990/000110465913078057/a13-22338_2ex4d1.htm" TargetMode="External"/><Relationship Id="rId27" Type="http://schemas.openxmlformats.org/officeDocument/2006/relationships/hyperlink" Target="https://www.sec.gov/Archives/edgar/data/1581990/000158199024000008/pagp202310-kexhibit414.htm" TargetMode="External"/><Relationship Id="rId28" Type="http://schemas.openxmlformats.org/officeDocument/2006/relationships/hyperlink" Target="https://www.sec.gov/Archives/edgar/data/1581990/000158199024000008/pagp202310-kexhibit414.htm" TargetMode="External"/><Relationship Id="rId29" Type="http://schemas.openxmlformats.org/officeDocument/2006/relationships/hyperlink" Target="https://www.sec.gov/Archives/edgar/data/1581990/000158199024000008/pagp202310-kexhibit414.htm" TargetMode="External"/><Relationship Id="rId30" Type="http://schemas.openxmlformats.org/officeDocument/2006/relationships/hyperlink" Target="https://www.sec.gov/Archives/edgar/data/1581990/000158199024000008/pagp202310-kexhibit414.htm" TargetMode="External"/><Relationship Id="rId31" Type="http://schemas.openxmlformats.org/officeDocument/2006/relationships/hyperlink" Target="https://www.sec.gov/Archives/edgar/data/1581990/000158199024000008/pagp202310-kexhibit414.htm" TargetMode="External"/><Relationship Id="rId32" Type="http://schemas.openxmlformats.org/officeDocument/2006/relationships/fontTable" Target="fontTable.xml"/><Relationship Id="rId3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26828</Words>
  <Characters>148629</Characters>
  <CharactersWithSpaces>173970</CharactersWithSpaces>
  <Paragraphs>3188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