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20" w:right="1560" w:hanging="3812"/>
        <w:spacing w:after="0" w:line="402" w:lineRule="auto"/>
        <w:tabs>
          <w:tab w:leader="none" w:pos="47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54" w:lineRule="exact"/>
        <w:rPr>
          <w:sz w:val="24"/>
          <w:szCs w:val="24"/>
          <w:color w:val="auto"/>
        </w:rPr>
      </w:pPr>
    </w:p>
    <w:p>
      <w:pPr>
        <w:sectPr>
          <w:pgSz w:w="11900" w:h="16838" w:orient="portrait"/>
          <w:cols w:equalWidth="0" w:num="2">
            <w:col w:w="6920" w:space="720"/>
            <w:col w:w="3540"/>
          </w:cols>
          <w:pgMar w:left="320" w:top="233" w:right="399" w:bottom="1440" w:gutter="0" w:footer="0" w:header="0"/>
          <w:type w:val="continuous"/>
        </w:sect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180" w:space="720"/>
            <w:col w:w="4280"/>
          </w:cols>
          <w:pgMar w:left="320" w:top="233" w:right="399" w:bottom="1440" w:gutter="0" w:footer="0" w:header="0"/>
          <w:type w:val="continuous"/>
        </w:sectPr>
      </w:pP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PAA</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15"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33" w:right="399" w:bottom="1440" w:gutter="0" w:footer="0" w:header="0"/>
          <w:type w:val="continuous"/>
        </w:sectPr>
      </w:pPr>
    </w:p>
    <w:p>
      <w:pPr>
        <w:spacing w:after="0" w:line="3" w:lineRule="exact"/>
        <w:rPr>
          <w:sz w:val="24"/>
          <w:szCs w:val="24"/>
          <w:color w:val="auto"/>
        </w:rPr>
      </w:pPr>
    </w:p>
    <w:p>
      <w:pPr>
        <w:ind w:left="1860"/>
        <w:spacing w:after="0" w:line="21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9"/>
          <w:szCs w:val="19"/>
          <w:color w:val="auto"/>
        </w:rPr>
        <w:t>☑</w:t>
      </w:r>
    </w:p>
    <w:p>
      <w:pPr>
        <w:spacing w:after="0" w:line="99" w:lineRule="exact"/>
        <w:rPr>
          <w:sz w:val="24"/>
          <w:szCs w:val="24"/>
          <w:color w:val="auto"/>
        </w:rPr>
      </w:pPr>
    </w:p>
    <w:p>
      <w:pPr>
        <w:ind w:left="1940"/>
        <w:spacing w:after="0" w:line="21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ind w:left="760"/>
        <w:spacing w:after="0" w:line="20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99"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5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125" w:lineRule="exact"/>
        <w:rPr>
          <w:sz w:val="24"/>
          <w:szCs w:val="24"/>
          <w:color w:val="auto"/>
        </w:rPr>
      </w:pPr>
    </w:p>
    <w:p>
      <w:pPr>
        <w:sectPr>
          <w:pgSz w:w="11900" w:h="16838" w:orient="portrait"/>
          <w:cols w:equalWidth="0" w:num="2">
            <w:col w:w="6800" w:space="720"/>
            <w:col w:w="3660"/>
          </w:cols>
          <w:pgMar w:left="320" w:top="233" w:right="399" w:bottom="1440" w:gutter="0" w:footer="0" w:header="0"/>
          <w:type w:val="continuous"/>
        </w:sect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April 30, 2021, there were 722,055,847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29"/>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March </w:t>
              </w:r>
            </w:hyperlink>
            <w:r>
              <w:rPr>
                <w:rFonts w:ascii="Arial" w:cs="Arial" w:eastAsia="Arial" w:hAnsi="Arial"/>
                <w:sz w:val="18"/>
                <w:szCs w:val="18"/>
                <w:color w:val="0000FF"/>
              </w:rPr>
              <w:t xml:space="preserve">31, </w:t>
            </w:r>
            <w:hyperlink w:anchor="page3">
              <w:r>
                <w:rPr>
                  <w:rFonts w:ascii="Arial" w:cs="Arial" w:eastAsia="Arial" w:hAnsi="Arial"/>
                  <w:sz w:val="18"/>
                  <w:szCs w:val="18"/>
                  <w:color w:val="0000FF"/>
                </w:rPr>
                <w:t>2021 and December 31,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Operations: For the three months ended March </w:t>
              </w:r>
            </w:hyperlink>
            <w:r>
              <w:rPr>
                <w:rFonts w:ascii="Arial" w:cs="Arial" w:eastAsia="Arial" w:hAnsi="Arial"/>
                <w:sz w:val="18"/>
                <w:szCs w:val="18"/>
                <w:color w:val="0000FF"/>
              </w:rPr>
              <w:t xml:space="preserve">31, </w:t>
            </w:r>
            <w:hyperlink w:anchor="page3">
              <w:r>
                <w:rPr>
                  <w:rFonts w:ascii="Arial" w:cs="Arial" w:eastAsia="Arial" w:hAnsi="Arial"/>
                  <w:sz w:val="18"/>
                  <w:szCs w:val="18"/>
                  <w:color w:val="0000FF"/>
                </w:rPr>
                <w:t>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 xml:space="preserve">Condensed Consolidated Statements of Comprehensive Income/(Loss): For the three months ended March </w:t>
              </w:r>
            </w:hyperlink>
            <w:r>
              <w:rPr>
                <w:rFonts w:ascii="Arial" w:cs="Arial" w:eastAsia="Arial" w:hAnsi="Arial"/>
                <w:sz w:val="18"/>
                <w:szCs w:val="18"/>
                <w:color w:val="0000FF"/>
                <w:w w:val="99"/>
              </w:rPr>
              <w:t xml:space="preserve">31, </w:t>
            </w:r>
            <w:hyperlink w:anchor="page4">
              <w:r>
                <w:rPr>
                  <w:rFonts w:ascii="Arial" w:cs="Arial" w:eastAsia="Arial" w:hAnsi="Arial"/>
                  <w:sz w:val="18"/>
                  <w:szCs w:val="18"/>
                  <w:color w:val="0000FF"/>
                  <w:w w:val="99"/>
                </w:rPr>
                <w:t>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Changes in Accumulated Other Comprehensive Income/(Loss): For the three months ended March</w:t>
              </w:r>
            </w:hyperlink>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780" w:type="dxa"/>
            <w:vAlign w:val="bottom"/>
            <w:tcBorders>
              <w:top w:val="single" w:sz="8" w:color="0000FF"/>
            </w:tcBorders>
            <w:gridSpan w:val="26"/>
          </w:tcPr>
          <w:p>
            <w:pPr>
              <w:spacing w:after="0" w:line="156" w:lineRule="exact"/>
              <w:rPr>
                <w:rFonts w:ascii="Arial" w:cs="Arial" w:eastAsia="Arial" w:hAnsi="Arial"/>
                <w:sz w:val="18"/>
                <w:szCs w:val="18"/>
                <w:color w:val="0000FF"/>
              </w:rPr>
            </w:pPr>
            <w:r>
              <w:rPr>
                <w:rFonts w:ascii="Arial" w:cs="Arial" w:eastAsia="Arial" w:hAnsi="Arial"/>
                <w:sz w:val="18"/>
                <w:szCs w:val="18"/>
                <w:color w:val="0000FF"/>
              </w:rPr>
              <w:t xml:space="preserve">31, </w:t>
            </w:r>
            <w:hyperlink w:anchor="page5">
              <w:r>
                <w:rPr>
                  <w:rFonts w:ascii="Arial" w:cs="Arial" w:eastAsia="Arial" w:hAnsi="Arial"/>
                  <w:sz w:val="18"/>
                  <w:szCs w:val="18"/>
                  <w:color w:val="0000FF"/>
                </w:rPr>
                <w:t>2021 and 2020</w:t>
              </w:r>
            </w:hyperlink>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three months ended March </w:t>
              </w:r>
            </w:hyperlink>
            <w:r>
              <w:rPr>
                <w:rFonts w:ascii="Arial" w:cs="Arial" w:eastAsia="Arial" w:hAnsi="Arial"/>
                <w:sz w:val="18"/>
                <w:szCs w:val="18"/>
                <w:color w:val="0000FF"/>
              </w:rPr>
              <w:t xml:space="preserve">31, </w:t>
            </w:r>
            <w:hyperlink w:anchor="page5">
              <w:r>
                <w:rPr>
                  <w:rFonts w:ascii="Arial" w:cs="Arial" w:eastAsia="Arial" w:hAnsi="Arial"/>
                  <w:sz w:val="18"/>
                  <w:szCs w:val="18"/>
                  <w:color w:val="0000FF"/>
                </w:rPr>
                <w:t>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Changes in Partners’ Capital: For the three months ended March </w:t>
              </w:r>
            </w:hyperlink>
            <w:r>
              <w:rPr>
                <w:rFonts w:ascii="Arial" w:cs="Arial" w:eastAsia="Arial" w:hAnsi="Arial"/>
                <w:sz w:val="18"/>
                <w:szCs w:val="18"/>
                <w:color w:val="0000FF"/>
              </w:rPr>
              <w:t xml:space="preserve">31, </w:t>
            </w:r>
            <w:hyperlink w:anchor="page6">
              <w:r>
                <w:rPr>
                  <w:rFonts w:ascii="Arial" w:cs="Arial" w:eastAsia="Arial" w:hAnsi="Arial"/>
                  <w:sz w:val="18"/>
                  <w:szCs w:val="18"/>
                  <w:color w:val="0000FF"/>
                </w:rPr>
                <w:t xml:space="preserve">2021 and </w:t>
              </w:r>
            </w:hyperlink>
            <w:r>
              <w:rPr>
                <w:rFonts w:ascii="Arial" w:cs="Arial" w:eastAsia="Arial" w:hAnsi="Arial"/>
                <w:sz w:val="18"/>
                <w:szCs w:val="18"/>
                <w:color w:val="0000FF"/>
              </w:rPr>
              <w:t>2020</w:t>
            </w:r>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8880" w:type="dxa"/>
            <w:vAlign w:val="bottom"/>
            <w:tcBorders>
              <w:top w:val="single" w:sz="8" w:color="0000FF"/>
            </w:tcBorders>
            <w:gridSpan w:val="2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Condensed Consolidated Financial Statements:</w:t>
              </w:r>
            </w:hyperlink>
          </w:p>
        </w:tc>
        <w:tc>
          <w:tcPr>
            <w:tcW w:w="118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1.</w:t>
              </w:r>
            </w:hyperlink>
          </w:p>
        </w:tc>
        <w:tc>
          <w:tcPr>
            <w:tcW w:w="4200" w:type="dxa"/>
            <w:vAlign w:val="bottom"/>
            <w:gridSpan w:val="15"/>
          </w:tcPr>
          <w:p>
            <w:pPr>
              <w:ind w:left="20"/>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Organization and Basis of Consolidation and Presentation</w:t>
              </w:r>
            </w:hyperlink>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2.</w:t>
              </w:r>
            </w:hyperlink>
          </w:p>
        </w:tc>
        <w:tc>
          <w:tcPr>
            <w:tcW w:w="3260" w:type="dxa"/>
            <w:vAlign w:val="bottom"/>
            <w:tcBorders>
              <w:bottom w:val="single" w:sz="8" w:color="0000FF"/>
            </w:tcBorders>
            <w:gridSpan w:val="12"/>
          </w:tcPr>
          <w:p>
            <w:pPr>
              <w:ind w:left="20"/>
              <w:spacing w:after="0"/>
              <w:rPr>
                <w:rFonts w:ascii="Arial" w:cs="Arial" w:eastAsia="Arial" w:hAnsi="Arial"/>
                <w:sz w:val="18"/>
                <w:szCs w:val="18"/>
                <w:color w:val="0000FF"/>
                <w:w w:val="93"/>
              </w:rPr>
            </w:pPr>
            <w:hyperlink w:anchor="page9">
              <w:r>
                <w:rPr>
                  <w:rFonts w:ascii="Arial" w:cs="Arial" w:eastAsia="Arial" w:hAnsi="Arial"/>
                  <w:sz w:val="18"/>
                  <w:szCs w:val="18"/>
                  <w:color w:val="0000FF"/>
                  <w:w w:val="93"/>
                </w:rPr>
                <w:t>Summary of Significant Accounting Policies</w:t>
              </w:r>
            </w:hyperlink>
          </w:p>
        </w:tc>
        <w:tc>
          <w:tcPr>
            <w:tcW w:w="940" w:type="dxa"/>
            <w:vAlign w:val="bottom"/>
            <w:gridSpan w:val="3"/>
          </w:tcPr>
          <w:p>
            <w:pPr>
              <w:spacing w:after="0"/>
              <w:rPr>
                <w:sz w:val="18"/>
                <w:szCs w:val="18"/>
                <w:color w:val="auto"/>
              </w:rPr>
            </w:pPr>
          </w:p>
        </w:tc>
        <w:tc>
          <w:tcPr>
            <w:tcW w:w="5520" w:type="dxa"/>
            <w:vAlign w:val="bottom"/>
            <w:gridSpan w:val="11"/>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9">
              <w:r>
                <w:rPr>
                  <w:rFonts w:ascii="Arial" w:cs="Arial" w:eastAsia="Arial" w:hAnsi="Arial"/>
                  <w:sz w:val="17"/>
                  <w:szCs w:val="17"/>
                  <w:color w:val="0000FF"/>
                  <w:w w:val="73"/>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3.</w:t>
              </w:r>
            </w:hyperlink>
          </w:p>
        </w:tc>
        <w:tc>
          <w:tcPr>
            <w:tcW w:w="9720" w:type="dxa"/>
            <w:vAlign w:val="bottom"/>
            <w:gridSpan w:val="26"/>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Revenues and Accounts Receivable</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4.</w:t>
              </w:r>
            </w:hyperlink>
          </w:p>
        </w:tc>
        <w:tc>
          <w:tcPr>
            <w:tcW w:w="9720" w:type="dxa"/>
            <w:vAlign w:val="bottom"/>
            <w:gridSpan w:val="26"/>
          </w:tcPr>
          <w:p>
            <w:pPr>
              <w:ind w:left="20"/>
              <w:spacing w:after="0"/>
              <w:rPr>
                <w:rFonts w:ascii="Arial" w:cs="Arial" w:eastAsia="Arial" w:hAnsi="Arial"/>
                <w:sz w:val="18"/>
                <w:szCs w:val="18"/>
                <w:color w:val="0000FF"/>
              </w:rPr>
            </w:pPr>
            <w:hyperlink w:anchor="page14">
              <w:r>
                <w:rPr>
                  <w:rFonts w:ascii="Arial" w:cs="Arial" w:eastAsia="Arial" w:hAnsi="Arial"/>
                  <w:sz w:val="18"/>
                  <w:szCs w:val="18"/>
                  <w:color w:val="0000FF"/>
                </w:rPr>
                <w:t>Net Income/(Loss) Per Common Unit</w:t>
              </w:r>
            </w:hyperlink>
          </w:p>
        </w:tc>
        <w:tc>
          <w:tcPr>
            <w:tcW w:w="100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5.</w:t>
              </w:r>
            </w:hyperlink>
          </w:p>
        </w:tc>
        <w:tc>
          <w:tcPr>
            <w:tcW w:w="4240" w:type="dxa"/>
            <w:vAlign w:val="bottom"/>
            <w:tcBorders>
              <w:bottom w:val="single" w:sz="8" w:color="0000FF"/>
            </w:tcBorders>
            <w:gridSpan w:val="16"/>
          </w:tcPr>
          <w:p>
            <w:pPr>
              <w:ind w:left="20"/>
              <w:spacing w:after="0"/>
              <w:rPr>
                <w:rFonts w:ascii="Arial" w:cs="Arial" w:eastAsia="Arial" w:hAnsi="Arial"/>
                <w:sz w:val="18"/>
                <w:szCs w:val="18"/>
                <w:color w:val="0000FF"/>
                <w:w w:val="92"/>
              </w:rPr>
            </w:pPr>
            <w:hyperlink w:anchor="page15">
              <w:r>
                <w:rPr>
                  <w:rFonts w:ascii="Arial" w:cs="Arial" w:eastAsia="Arial" w:hAnsi="Arial"/>
                  <w:sz w:val="18"/>
                  <w:szCs w:val="18"/>
                  <w:color w:val="0000FF"/>
                  <w:w w:val="92"/>
                </w:rPr>
                <w:t>Inventory, Linefill and Base Gas and Long-term Inventory</w:t>
              </w:r>
            </w:hyperlink>
          </w:p>
        </w:tc>
        <w:tc>
          <w:tcPr>
            <w:tcW w:w="548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Debt</w:t>
              </w:r>
            </w:hyperlink>
          </w:p>
        </w:tc>
        <w:tc>
          <w:tcPr>
            <w:tcW w:w="9340" w:type="dxa"/>
            <w:vAlign w:val="bottom"/>
            <w:gridSpan w:val="25"/>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6">
              <w:r>
                <w:rPr>
                  <w:rFonts w:ascii="Arial" w:cs="Arial" w:eastAsia="Arial" w:hAnsi="Arial"/>
                  <w:sz w:val="17"/>
                  <w:szCs w:val="17"/>
                  <w:color w:val="0000FF"/>
                  <w:w w:val="73"/>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7.</w:t>
              </w:r>
            </w:hyperlink>
          </w:p>
        </w:tc>
        <w:tc>
          <w:tcPr>
            <w:tcW w:w="2580" w:type="dxa"/>
            <w:vAlign w:val="bottom"/>
            <w:tcBorders>
              <w:bottom w:val="single" w:sz="8" w:color="0000FF"/>
            </w:tcBorders>
            <w:gridSpan w:val="10"/>
          </w:tcPr>
          <w:p>
            <w:pPr>
              <w:ind w:left="20"/>
              <w:spacing w:after="0"/>
              <w:rPr>
                <w:rFonts w:ascii="Arial" w:cs="Arial" w:eastAsia="Arial" w:hAnsi="Arial"/>
                <w:sz w:val="18"/>
                <w:szCs w:val="18"/>
                <w:color w:val="0000FF"/>
                <w:w w:val="92"/>
              </w:rPr>
            </w:pPr>
            <w:hyperlink w:anchor="page17">
              <w:r>
                <w:rPr>
                  <w:rFonts w:ascii="Arial" w:cs="Arial" w:eastAsia="Arial" w:hAnsi="Arial"/>
                  <w:sz w:val="18"/>
                  <w:szCs w:val="18"/>
                  <w:color w:val="0000FF"/>
                  <w:w w:val="92"/>
                </w:rPr>
                <w:t>Partners’ Capital and Distributions</w:t>
              </w:r>
            </w:hyperlink>
          </w:p>
        </w:tc>
        <w:tc>
          <w:tcPr>
            <w:tcW w:w="714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7">
              <w:r>
                <w:rPr>
                  <w:rFonts w:ascii="Arial" w:cs="Arial" w:eastAsia="Arial" w:hAnsi="Arial"/>
                  <w:sz w:val="17"/>
                  <w:szCs w:val="17"/>
                  <w:color w:val="0000FF"/>
                  <w:w w:val="73"/>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8.</w:t>
              </w:r>
            </w:hyperlink>
          </w:p>
        </w:tc>
        <w:tc>
          <w:tcPr>
            <w:tcW w:w="3280" w:type="dxa"/>
            <w:vAlign w:val="bottom"/>
            <w:tcBorders>
              <w:bottom w:val="single" w:sz="8" w:color="0000FF"/>
            </w:tcBorders>
            <w:gridSpan w:val="13"/>
          </w:tcPr>
          <w:p>
            <w:pPr>
              <w:ind w:left="20"/>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Derivatives and Risk Management Activities</w:t>
              </w:r>
            </w:hyperlink>
          </w:p>
        </w:tc>
        <w:tc>
          <w:tcPr>
            <w:tcW w:w="6440" w:type="dxa"/>
            <w:vAlign w:val="bottom"/>
            <w:gridSpan w:val="13"/>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9.</w:t>
              </w:r>
            </w:hyperlink>
          </w:p>
        </w:tc>
        <w:tc>
          <w:tcPr>
            <w:tcW w:w="9720" w:type="dxa"/>
            <w:vAlign w:val="bottom"/>
            <w:gridSpan w:val="26"/>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10"/>
          </w:tcPr>
          <w:p>
            <w:pPr>
              <w:ind w:left="2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10. Commitments and Contingencies</w:t>
              </w:r>
            </w:hyperlink>
          </w:p>
        </w:tc>
        <w:tc>
          <w:tcPr>
            <w:tcW w:w="7200" w:type="dxa"/>
            <w:vAlign w:val="bottom"/>
            <w:gridSpan w:val="17"/>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bottom w:val="single" w:sz="8" w:color="0000FF"/>
            </w:tcBorders>
            <w:gridSpan w:val="7"/>
          </w:tcPr>
          <w:p>
            <w:pPr>
              <w:ind w:left="20"/>
              <w:spacing w:after="0"/>
              <w:rPr>
                <w:rFonts w:ascii="Arial" w:cs="Arial" w:eastAsia="Arial" w:hAnsi="Arial"/>
                <w:sz w:val="18"/>
                <w:szCs w:val="18"/>
                <w:color w:val="0000FF"/>
                <w:w w:val="87"/>
              </w:rPr>
            </w:pPr>
            <w:hyperlink w:anchor="page28">
              <w:r>
                <w:rPr>
                  <w:rFonts w:ascii="Arial" w:cs="Arial" w:eastAsia="Arial" w:hAnsi="Arial"/>
                  <w:sz w:val="18"/>
                  <w:szCs w:val="18"/>
                  <w:color w:val="0000FF"/>
                  <w:w w:val="87"/>
                </w:rPr>
                <w:t>11. Operating Segments</w:t>
              </w:r>
            </w:hyperlink>
          </w:p>
        </w:tc>
        <w:tc>
          <w:tcPr>
            <w:tcW w:w="8140" w:type="dxa"/>
            <w:vAlign w:val="bottom"/>
            <w:gridSpan w:val="20"/>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8">
              <w:r>
                <w:rPr>
                  <w:rFonts w:ascii="Arial" w:cs="Arial" w:eastAsia="Arial" w:hAnsi="Arial"/>
                  <w:sz w:val="17"/>
                  <w:szCs w:val="17"/>
                  <w:color w:val="0000FF"/>
                  <w:w w:val="73"/>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480" w:type="dxa"/>
            <w:vAlign w:val="bottom"/>
            <w:tcBorders>
              <w:bottom w:val="single" w:sz="8" w:color="0000FF"/>
            </w:tcBorders>
            <w:gridSpan w:val="27"/>
          </w:tcPr>
          <w:p>
            <w:pPr>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31">
              <w:r>
                <w:rPr>
                  <w:rFonts w:ascii="Arial" w:cs="Arial" w:eastAsia="Arial" w:hAnsi="Arial"/>
                  <w:sz w:val="17"/>
                  <w:szCs w:val="17"/>
                  <w:color w:val="0000FF"/>
                  <w:w w:val="73"/>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0000FF"/>
            </w:tcBorders>
            <w:gridSpan w:val="23"/>
          </w:tcPr>
          <w:p>
            <w:pPr>
              <w:spacing w:after="0"/>
              <w:rPr>
                <w:rFonts w:ascii="Arial" w:cs="Arial" w:eastAsia="Arial" w:hAnsi="Arial"/>
                <w:sz w:val="18"/>
                <w:szCs w:val="18"/>
                <w:color w:val="0000FF"/>
                <w:w w:val="97"/>
              </w:rPr>
            </w:pPr>
            <w:hyperlink w:anchor="page53">
              <w:r>
                <w:rPr>
                  <w:rFonts w:ascii="Arial" w:cs="Arial" w:eastAsia="Arial" w:hAnsi="Arial"/>
                  <w:sz w:val="18"/>
                  <w:szCs w:val="18"/>
                  <w:color w:val="0000FF"/>
                  <w:w w:val="97"/>
                </w:rPr>
                <w:t>Item 3. QUANTITATIVE AND QUALITATIVE DISCLOSURES ABOUT MARKET RISK</w:t>
              </w:r>
            </w:hyperlink>
          </w:p>
        </w:tc>
        <w:tc>
          <w:tcPr>
            <w:tcW w:w="350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54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0000FF"/>
            </w:tcBorders>
            <w:gridSpan w:val="14"/>
          </w:tcPr>
          <w:p>
            <w:pPr>
              <w:spacing w:after="0"/>
              <w:rPr>
                <w:rFonts w:ascii="Arial" w:cs="Arial" w:eastAsia="Arial" w:hAnsi="Arial"/>
                <w:sz w:val="18"/>
                <w:szCs w:val="18"/>
                <w:color w:val="0000FF"/>
                <w:w w:val="94"/>
              </w:rPr>
            </w:pPr>
            <w:hyperlink w:anchor="page55">
              <w:r>
                <w:rPr>
                  <w:rFonts w:ascii="Arial" w:cs="Arial" w:eastAsia="Arial" w:hAnsi="Arial"/>
                  <w:sz w:val="18"/>
                  <w:szCs w:val="18"/>
                  <w:color w:val="0000FF"/>
                  <w:w w:val="94"/>
                </w:rPr>
                <w:t>Item 4. CONTROLS AND PROCEDURES</w:t>
              </w:r>
            </w:hyperlink>
          </w:p>
        </w:tc>
        <w:tc>
          <w:tcPr>
            <w:tcW w:w="6980" w:type="dxa"/>
            <w:vAlign w:val="bottom"/>
            <w:gridSpan w:val="15"/>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29"/>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PART II. OTHER INFORMATION</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1. LEGAL PROCEEDINGS</w:t>
              </w:r>
            </w:hyperlink>
          </w:p>
        </w:tc>
        <w:tc>
          <w:tcPr>
            <w:tcW w:w="320" w:type="dxa"/>
            <w:vAlign w:val="bottom"/>
            <w:tcBorders>
              <w:top w:val="single" w:sz="8" w:color="0000FF"/>
            </w:tcBorders>
          </w:tcPr>
          <w:p>
            <w:pPr>
              <w:spacing w:after="0"/>
              <w:rPr>
                <w:sz w:val="18"/>
                <w:szCs w:val="18"/>
                <w:color w:val="auto"/>
              </w:rPr>
            </w:pPr>
          </w:p>
        </w:tc>
        <w:tc>
          <w:tcPr>
            <w:tcW w:w="7440" w:type="dxa"/>
            <w:vAlign w:val="bottom"/>
            <w:gridSpan w:val="18"/>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56">
              <w:r>
                <w:rPr>
                  <w:rFonts w:ascii="Arial" w:cs="Arial" w:eastAsia="Arial" w:hAnsi="Arial"/>
                  <w:sz w:val="18"/>
                  <w:szCs w:val="18"/>
                  <w:color w:val="0000FF"/>
                  <w:w w:val="93"/>
                </w:rPr>
                <w:t>Item 1A. RISK FACTORS</w:t>
              </w:r>
            </w:hyperlink>
          </w:p>
        </w:tc>
        <w:tc>
          <w:tcPr>
            <w:tcW w:w="8260" w:type="dxa"/>
            <w:vAlign w:val="bottom"/>
            <w:gridSpan w:val="21"/>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2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3. DEFAULTS UPON SENIOR SECURITIES</w:t>
              </w:r>
            </w:hyperlink>
          </w:p>
        </w:tc>
        <w:tc>
          <w:tcPr>
            <w:tcW w:w="358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3"/>
          </w:tcPr>
          <w:p>
            <w:pPr>
              <w:spacing w:after="0"/>
              <w:rPr>
                <w:sz w:val="18"/>
                <w:szCs w:val="18"/>
                <w:color w:val="auto"/>
              </w:rPr>
            </w:pPr>
          </w:p>
        </w:tc>
        <w:tc>
          <w:tcPr>
            <w:tcW w:w="6460" w:type="dxa"/>
            <w:vAlign w:val="bottom"/>
            <w:gridSpan w:val="14"/>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2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6. EXHIBITS</w:t>
              </w:r>
            </w:hyperlink>
          </w:p>
        </w:tc>
        <w:tc>
          <w:tcPr>
            <w:tcW w:w="7760" w:type="dxa"/>
            <w:vAlign w:val="bottom"/>
            <w:gridSpan w:val="19"/>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57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6"/>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SIGNATURES</w:t>
              </w:r>
            </w:hyperlink>
          </w:p>
        </w:tc>
        <w:tc>
          <w:tcPr>
            <w:tcW w:w="8820" w:type="dxa"/>
            <w:vAlign w:val="bottom"/>
            <w:gridSpan w:val="23"/>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61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91"/>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105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2,553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3,665</w:t>
            </w:r>
          </w:p>
        </w:tc>
      </w:tr>
      <w:tr>
        <w:trPr>
          <w:trHeight w:val="88"/>
        </w:trPr>
        <w:tc>
          <w:tcPr>
            <w:tcW w:w="8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18,585</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(3,974)</w:t>
            </w: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14,611</w:t>
            </w:r>
          </w:p>
        </w:tc>
      </w:tr>
      <w:tr>
        <w:trPr>
          <w:trHeight w:val="88"/>
        </w:trPr>
        <w:tc>
          <w:tcPr>
            <w:tcW w:w="8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378</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 net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49"/>
        </w:trPr>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3,397</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2,437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4,253</w:t>
            </w:r>
          </w:p>
        </w:tc>
      </w:tr>
      <w:tr>
        <w:trPr>
          <w:trHeight w:val="88"/>
        </w:trPr>
        <w:tc>
          <w:tcPr>
            <w:tcW w:w="8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9,073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9,071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operating lease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long-term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10,506</w:t>
            </w:r>
          </w:p>
        </w:tc>
      </w:tr>
      <w:tr>
        <w:trPr>
          <w:trHeight w:val="88"/>
        </w:trPr>
        <w:tc>
          <w:tcPr>
            <w:tcW w:w="8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PARTNERS’ CAPITAL</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preferred unitholders (71,090,468 and 71,090,468 units outstanding, respectively)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Series B preferred unitholders (800,000 and 800,000 units outstanding, respectively)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unitholders (722,055,847 and 722,380,416 units outstanding,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7,301</w:t>
            </w:r>
          </w:p>
        </w:tc>
      </w:tr>
      <w:tr>
        <w:trPr>
          <w:trHeight w:val="209"/>
        </w:trPr>
        <w:tc>
          <w:tcPr>
            <w:tcW w:w="8240" w:type="dxa"/>
            <w:vAlign w:val="bottom"/>
          </w:tcPr>
          <w:p>
            <w:pPr>
              <w:ind w:left="140"/>
              <w:spacing w:after="0"/>
              <w:rPr>
                <w:sz w:val="20"/>
                <w:szCs w:val="20"/>
                <w:color w:val="auto"/>
              </w:rPr>
            </w:pPr>
            <w:r>
              <w:rPr>
                <w:rFonts w:ascii="Arial" w:cs="Arial" w:eastAsia="Arial" w:hAnsi="Arial"/>
                <w:sz w:val="17"/>
                <w:szCs w:val="17"/>
                <w:color w:val="auto"/>
              </w:rPr>
              <w:t>Total partners’ capital excluding noncontrolling interests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9,943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9,593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7"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183"/>
        </w:trPr>
        <w:tc>
          <w:tcPr>
            <w:tcW w:w="8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r>
      <w:tr>
        <w:trPr>
          <w:trHeight w:val="23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8,083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7,907</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r>
      <w:tr>
        <w:trPr>
          <w:trHeight w:val="162"/>
        </w:trPr>
        <w:tc>
          <w:tcPr>
            <w:tcW w:w="8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7,392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7,367</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losses</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23"/>
        </w:trPr>
        <w:tc>
          <w:tcPr>
            <w:tcW w:w="860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7,857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11,042</w:t>
            </w:r>
          </w:p>
        </w:tc>
      </w:tr>
      <w:tr>
        <w:trPr>
          <w:trHeight w:val="162"/>
        </w:trPr>
        <w:tc>
          <w:tcPr>
            <w:tcW w:w="8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162"/>
        </w:trPr>
        <w:tc>
          <w:tcPr>
            <w:tcW w:w="8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capitalized interest of $5 and $6, respectively)</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142"/>
        </w:trPr>
        <w:tc>
          <w:tcPr>
            <w:tcW w:w="8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(2,824)</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142"/>
        </w:trPr>
        <w:tc>
          <w:tcPr>
            <w:tcW w:w="8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(2,845)</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86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INCOME/(LOSS) PER COMMON UNIT (NOTE 4):</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Basic and Diluted</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Basic and diluted weighted average common units outstanding</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55"/>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 net income/(loss) per common unit</w:t>
            </w: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216"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183"/>
        </w:trPr>
        <w:tc>
          <w:tcPr>
            <w:tcW w:w="8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r>
      <w:tr>
        <w:trPr>
          <w:trHeight w:val="23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PAA</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4"/>
                <w:szCs w:val="14"/>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10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4"/>
              </w:rPr>
              <w:t>Instruments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0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88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0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24"/>
                <w:szCs w:val="24"/>
                <w:color w:val="auto"/>
              </w:rPr>
            </w:pPr>
          </w:p>
        </w:tc>
        <w:tc>
          <w:tcPr>
            <w:tcW w:w="1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10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2"/>
              </w:rPr>
              <w:t>Instruments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4"/>
              </w:rPr>
              <w:t>Adjustments</w:t>
            </w:r>
          </w:p>
        </w:tc>
        <w:tc>
          <w:tcPr>
            <w:tcW w:w="10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86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period activity</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Balance at March 31,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5"/>
                <w:szCs w:val="15"/>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income/(loss)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(2,845)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net income/(loss) to net cash provided by 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(Gains)/losses on asset sales and asset impairments, net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Goodwill impairment losses</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2,515</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Inventory valuation adjustments</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Deferred income tax expense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(Gain)/loss on foreign currency revaluation</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Change in fair value of Preferred Distribution Rate Reset Option (Note 8)</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earnings in unconsolidated entities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Distributions on earnings from unconsolidated entities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on)/impairment of investments in unconsolidated entities, net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Other</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assets and liabilities, net of acquisitions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0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w:t>
            </w:r>
          </w:p>
        </w:tc>
      </w:tr>
      <w:tr>
        <w:trPr>
          <w:trHeight w:val="196"/>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in connection with acquisitions, net of cash acquired</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to property, equipment and other</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Proceeds from sales of assets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w:t>
            </w:r>
          </w:p>
        </w:tc>
      </w:tr>
      <w:tr>
        <w:trPr>
          <w:trHeight w:val="196"/>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repayments under commercial paper program (Note 6)</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borrowings/(repayments) under senior secured hedged inventory facility (Note 6)</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Series A preferred unitholders (Note 7)</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Distributions paid to common unitholders (Note 7)</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1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Net cash used in financing activities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r>
      <w:tr>
        <w:trPr>
          <w:trHeight w:val="196"/>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Effect of translation adjustment</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8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increase/(decrease) in cash and cash equivalents and restricted cash</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10"/>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 and restricted cash, end of period</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paid for:</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net of amounts capitalized</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8240" w:type="dxa"/>
            <w:vAlign w:val="bottom"/>
          </w:tcPr>
          <w:p>
            <w:pPr>
              <w:ind w:left="140"/>
              <w:spacing w:after="0"/>
              <w:rPr>
                <w:sz w:val="20"/>
                <w:szCs w:val="20"/>
                <w:color w:val="auto"/>
              </w:rPr>
            </w:pPr>
            <w:r>
              <w:rPr>
                <w:rFonts w:ascii="Arial" w:cs="Arial" w:eastAsia="Arial" w:hAnsi="Arial"/>
                <w:sz w:val="17"/>
                <w:szCs w:val="17"/>
                <w:color w:val="auto"/>
              </w:rPr>
              <w:t>Income taxes, net of amounts refunded</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51</w:t>
            </w:r>
          </w:p>
        </w:tc>
      </w:tr>
    </w:tbl>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Limited Partners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Unitholders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ind w:lef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Limited Partners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(2,896)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(2,847)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310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crude oil, NGL and natural gas. Our business activities are conducted through three operating segments: Transportation, Facilities and Supply and Logistics. See Note 11 for further discussion of our operating segments.</w:t>
      </w:r>
    </w:p>
    <w:p>
      <w:pPr>
        <w:spacing w:after="0" w:line="178"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Our non-economic general partner interest is held by PAA GP LLC (“PAA GP”), a Delaware limited liability company, whose sole member is Plains AAP, L.P. (“AAP”), a Delaware limited partnership. In addition to its ownership of PAA GP, as of March 31, 2021, AAP also owned a limited partner interest in us through its ownership of approximately 245.5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March 31, 2021, owned an approximate 79% limited partner interest in AAP. PAA GP Holdings LLC (“PAGP GP”) is the general partner of PAGP.</w:t>
      </w:r>
    </w:p>
    <w:p>
      <w:pPr>
        <w:spacing w:after="0" w:line="1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2020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2020 was derived from audited financial statements, but does not include all disclosures required by GAAP. The results of operations for the three months ended March 31, 2021 should not be taken as indicative of results to be expected for the entire year.</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Sheets that sum to the total of the amounts shown on our Condensed Consolidated Statements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first quarter of 2021, we modified the useful lives of certain of our Pipeline and related facilities and Storage, terminal and rail facilities to useful lives of 10 to 50 years from useful lives of 10 to 70 years to reflect current expectations given our future operating and commercial outlook. These depreciable life adjustments will prospectively increase depreciation expense. For the three months ended March 31, 2021, these reductions increased depreciation expense by approximately $18 million, which resulted in a decrease to both basic and diluted net income per common unit of approximately $0.03 from what it would have been absent the change in useful lives.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2020 Annual Report on Form 10-K, there have been no new accounting pronouncements that have become effective or have been issued during the three months ended March 31, 2021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adopted the ASU listed below effective January 1, 2021 and our adoption did not have a material impact on our financial position, results of operations or cash flows (see Note 2 to our Consolidated Financial Statements included in Part IV of our 2020 Annual Report on Form 10-K for additional information regarding this ASU):</w:t>
      </w:r>
    </w:p>
    <w:p>
      <w:pPr>
        <w:spacing w:after="0" w:line="211" w:lineRule="exact"/>
        <w:rPr>
          <w:sz w:val="20"/>
          <w:szCs w:val="20"/>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2019-12, Income Taxes (Topic 740): Simplifying the Accounting for Income Taxes.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2020 Annual Report on Form 10-K for additional information regarding our types of revenues and policies for revenue recognition.</w:t>
      </w:r>
    </w:p>
    <w:p>
      <w:pPr>
        <w:spacing w:after="0" w:line="192"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Crude oil transactions</w:t>
            </w:r>
          </w:p>
        </w:tc>
        <w:tc>
          <w:tcPr>
            <w:tcW w:w="780" w:type="dxa"/>
            <w:vAlign w:val="bottom"/>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7,711</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7,322</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other transactions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780" w:type="dxa"/>
            <w:vAlign w:val="bottom"/>
            <w:tcBorders>
              <w:bottom w:val="single" w:sz="8" w:color="auto"/>
            </w:tcBorders>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8,395</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7,750</w:t>
            </w:r>
          </w:p>
        </w:tc>
      </w:tr>
      <w:tr>
        <w:trPr>
          <w:trHeight w:val="21"/>
        </w:trPr>
        <w:tc>
          <w:tcPr>
            <w:tcW w:w="86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507"/>
        </w:trPr>
        <w:tc>
          <w:tcPr>
            <w:tcW w:w="8600" w:type="dxa"/>
            <w:vAlign w:val="bottom"/>
          </w:tcPr>
          <w:p>
            <w:pPr>
              <w:spacing w:after="0"/>
              <w:rPr>
                <w:sz w:val="24"/>
                <w:szCs w:val="24"/>
                <w:color w:val="auto"/>
              </w:rPr>
            </w:pPr>
          </w:p>
        </w:tc>
        <w:tc>
          <w:tcPr>
            <w:tcW w:w="2160" w:type="dxa"/>
            <w:vAlign w:val="bottom"/>
            <w:gridSpan w:val="4"/>
          </w:tcPr>
          <w:p>
            <w:pPr>
              <w:jc w:val="center"/>
              <w:ind w:left="398"/>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24"/>
                <w:szCs w:val="24"/>
                <w:color w:val="auto"/>
              </w:rPr>
            </w:pPr>
          </w:p>
        </w:tc>
      </w:tr>
      <w:tr>
        <w:trPr>
          <w:trHeight w:val="188"/>
        </w:trPr>
        <w:tc>
          <w:tcPr>
            <w:tcW w:w="86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Borders>
              <w:bottom w:val="single" w:sz="8" w:color="auto"/>
            </w:tcBorders>
          </w:tcPr>
          <w:p>
            <w:pPr>
              <w:spacing w:after="0"/>
              <w:rPr>
                <w:sz w:val="16"/>
                <w:szCs w:val="16"/>
                <w:color w:val="auto"/>
              </w:rPr>
            </w:pPr>
          </w:p>
        </w:tc>
      </w:tr>
      <w:tr>
        <w:trPr>
          <w:trHeight w:val="183"/>
        </w:trPr>
        <w:tc>
          <w:tcPr>
            <w:tcW w:w="86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Tariff activities: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780" w:type="dxa"/>
            <w:vAlign w:val="bottom"/>
            <w:shd w:val="clear" w:color="auto" w:fill="CCEEFF"/>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NGL pipelines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tariff activities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Trucking</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8600" w:type="dxa"/>
            <w:vAlign w:val="bottom"/>
          </w:tcPr>
          <w:p>
            <w:pPr>
              <w:spacing w:after="0"/>
              <w:rPr>
                <w:sz w:val="24"/>
                <w:szCs w:val="24"/>
                <w:color w:val="auto"/>
              </w:rPr>
            </w:pPr>
          </w:p>
        </w:tc>
        <w:tc>
          <w:tcPr>
            <w:tcW w:w="2160" w:type="dxa"/>
            <w:vAlign w:val="bottom"/>
            <w:gridSpan w:val="4"/>
          </w:tcPr>
          <w:p>
            <w:pPr>
              <w:jc w:val="center"/>
              <w:ind w:left="398"/>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24"/>
                <w:szCs w:val="24"/>
                <w:color w:val="auto"/>
              </w:rPr>
            </w:pPr>
          </w:p>
        </w:tc>
      </w:tr>
      <w:tr>
        <w:trPr>
          <w:trHeight w:val="188"/>
        </w:trPr>
        <w:tc>
          <w:tcPr>
            <w:tcW w:w="86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Borders>
              <w:bottom w:val="single" w:sz="8" w:color="auto"/>
            </w:tcBorders>
          </w:tcPr>
          <w:p>
            <w:pPr>
              <w:spacing w:after="0"/>
              <w:rPr>
                <w:sz w:val="16"/>
                <w:szCs w:val="16"/>
                <w:color w:val="auto"/>
              </w:rPr>
            </w:pPr>
          </w:p>
        </w:tc>
      </w:tr>
      <w:tr>
        <w:trPr>
          <w:trHeight w:val="183"/>
        </w:trPr>
        <w:tc>
          <w:tcPr>
            <w:tcW w:w="86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Crude oil, NGL and other terminalling and storage</w:t>
            </w:r>
          </w:p>
        </w:tc>
        <w:tc>
          <w:tcPr>
            <w:tcW w:w="780" w:type="dxa"/>
            <w:vAlign w:val="bottom"/>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natural gas processing and fractionation</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Rail load / unload</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(as described above for each segment) to segment revenues and total revenues as disclosed in our Condensed Consolidated Statements of Operations (in millions):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14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3800" w:type="dxa"/>
            <w:vAlign w:val="bottom"/>
            <w:gridSpan w:val="2"/>
            <w:vMerge w:val="continue"/>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4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83"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center"/>
              <w:ind w:left="1214"/>
              <w:spacing w:after="0"/>
              <w:rPr>
                <w:sz w:val="20"/>
                <w:szCs w:val="20"/>
                <w:color w:val="auto"/>
              </w:rPr>
            </w:pPr>
            <w:r>
              <w:rPr>
                <w:rFonts w:ascii="Arial" w:cs="Arial" w:eastAsia="Arial" w:hAnsi="Arial"/>
                <w:sz w:val="18"/>
                <w:szCs w:val="18"/>
                <w:color w:val="auto"/>
                <w:w w:val="86"/>
              </w:rPr>
              <w:t>501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120"/>
              <w:spacing w:after="0" w:line="243" w:lineRule="exact"/>
              <w:rPr>
                <w:sz w:val="20"/>
                <w:szCs w:val="20"/>
                <w:color w:val="auto"/>
              </w:rPr>
            </w:pPr>
            <w:r>
              <w:rPr>
                <w:rFonts w:ascii="Arial" w:cs="Arial" w:eastAsia="Arial" w:hAnsi="Arial"/>
                <w:sz w:val="18"/>
                <w:szCs w:val="18"/>
                <w:color w:val="auto"/>
              </w:rPr>
              <w:t xml:space="preserve">Amounts recognized as revenue </w:t>
            </w:r>
            <w:r>
              <w:rPr>
                <w:rFonts w:ascii="Arial" w:cs="Arial" w:eastAsia="Arial" w:hAnsi="Arial"/>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center"/>
              <w:ind w:left="1194"/>
              <w:spacing w:after="0" w:line="203" w:lineRule="exact"/>
              <w:rPr>
                <w:sz w:val="20"/>
                <w:szCs w:val="20"/>
                <w:color w:val="auto"/>
              </w:rPr>
            </w:pPr>
            <w:r>
              <w:rPr>
                <w:rFonts w:ascii="Arial" w:cs="Arial" w:eastAsia="Arial" w:hAnsi="Arial"/>
                <w:sz w:val="18"/>
                <w:szCs w:val="18"/>
                <w:color w:val="auto"/>
                <w:w w:val="95"/>
              </w:rPr>
              <w:t>(380)</w:t>
            </w:r>
          </w:p>
        </w:tc>
        <w:tc>
          <w:tcPr>
            <w:tcW w:w="0" w:type="dxa"/>
            <w:vAlign w:val="bottom"/>
          </w:tcPr>
          <w:p>
            <w:pPr>
              <w:spacing w:after="0"/>
              <w:rPr>
                <w:sz w:val="1"/>
                <w:szCs w:val="1"/>
                <w:color w:val="auto"/>
              </w:rPr>
            </w:pPr>
          </w:p>
        </w:tc>
      </w:tr>
      <w:tr>
        <w:trPr>
          <w:trHeight w:val="230"/>
        </w:trPr>
        <w:tc>
          <w:tcPr>
            <w:tcW w:w="922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1214"/>
              <w:spacing w:after="0"/>
              <w:rPr>
                <w:sz w:val="20"/>
                <w:szCs w:val="20"/>
                <w:color w:val="auto"/>
              </w:rPr>
            </w:pPr>
            <w:r>
              <w:rPr>
                <w:rFonts w:ascii="Arial" w:cs="Arial" w:eastAsia="Arial" w:hAnsi="Arial"/>
                <w:sz w:val="18"/>
                <w:szCs w:val="18"/>
                <w:color w:val="auto"/>
                <w:w w:val="86"/>
              </w:rPr>
              <w:t>373</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center"/>
              <w:ind w:left="1214"/>
              <w:spacing w:after="0"/>
              <w:rPr>
                <w:sz w:val="20"/>
                <w:szCs w:val="20"/>
                <w:color w:val="auto"/>
              </w:rPr>
            </w:pPr>
            <w:r>
              <w:rPr>
                <w:rFonts w:ascii="Arial" w:cs="Arial" w:eastAsia="Arial" w:hAnsi="Arial"/>
                <w:sz w:val="18"/>
                <w:szCs w:val="18"/>
                <w:color w:val="auto"/>
                <w:w w:val="86"/>
              </w:rPr>
              <w:t>494</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4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$361 million associated with crude oil sales agreements that were entered into in the fourth quarter of 2020 in conjunction with storage arrangements and future inventory exchanges.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left="660" w:right="180" w:hanging="652"/>
        <w:spacing w:after="0" w:line="267"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approximately $346 million associated with crude oil sales agreements that were entered into in the first quarter of 2021 in conjunction with storage arrangements and future inventory exchanges. Such amount is expected to be recognized as revenue in the second quarter of 2021.</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2021 (in millions):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2026 and</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171</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Storage, terminalling and throughput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During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March 31, 2021 and December 31, 2020,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436"/>
              <w:spacing w:after="0"/>
              <w:rPr>
                <w:sz w:val="20"/>
                <w:szCs w:val="20"/>
                <w:color w:val="auto"/>
              </w:rPr>
            </w:pPr>
            <w:r>
              <w:rPr>
                <w:rFonts w:ascii="Arial" w:cs="Arial" w:eastAsia="Arial" w:hAnsi="Arial"/>
                <w:sz w:val="18"/>
                <w:szCs w:val="18"/>
                <w:color w:val="auto"/>
                <w:w w:val="93"/>
              </w:rPr>
              <w:t>3,140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2,317</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60" w:type="dxa"/>
            <w:vAlign w:val="bottom"/>
          </w:tcPr>
          <w:p>
            <w:pPr>
              <w:jc w:val="center"/>
              <w:ind w:left="436"/>
              <w:spacing w:after="0"/>
              <w:rPr>
                <w:sz w:val="20"/>
                <w:szCs w:val="20"/>
                <w:color w:val="auto"/>
              </w:rPr>
            </w:pPr>
            <w:r>
              <w:rPr>
                <w:rFonts w:ascii="Arial" w:cs="Arial" w:eastAsia="Arial" w:hAnsi="Arial"/>
                <w:sz w:val="18"/>
                <w:szCs w:val="18"/>
                <w:color w:val="auto"/>
                <w:w w:val="93"/>
              </w:rPr>
              <w:t>3,582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center"/>
              <w:ind w:left="210"/>
              <w:spacing w:after="0"/>
              <w:rPr>
                <w:sz w:val="20"/>
                <w:szCs w:val="20"/>
                <w:color w:val="auto"/>
              </w:rPr>
            </w:pPr>
            <w:r>
              <w:rPr>
                <w:rFonts w:ascii="Arial" w:cs="Arial" w:eastAsia="Arial" w:hAnsi="Arial"/>
                <w:sz w:val="18"/>
                <w:szCs w:val="18"/>
                <w:color w:val="auto"/>
                <w:w w:val="88"/>
              </w:rPr>
              <w:t>2,818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16"/>
              <w:spacing w:after="0"/>
              <w:rPr>
                <w:sz w:val="20"/>
                <w:szCs w:val="20"/>
                <w:color w:val="auto"/>
              </w:rPr>
            </w:pPr>
            <w:r>
              <w:rPr>
                <w:rFonts w:ascii="Arial" w:cs="Arial" w:eastAsia="Arial" w:hAnsi="Arial"/>
                <w:sz w:val="18"/>
                <w:szCs w:val="18"/>
                <w:color w:val="auto"/>
                <w:w w:val="91"/>
              </w:rPr>
              <w:t>(3,321)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(2,582)</w:t>
            </w:r>
          </w:p>
        </w:tc>
        <w:tc>
          <w:tcPr>
            <w:tcW w:w="0" w:type="dxa"/>
            <w:vAlign w:val="bottom"/>
          </w:tcPr>
          <w:p>
            <w:pPr>
              <w:spacing w:after="0"/>
              <w:rPr>
                <w:sz w:val="1"/>
                <w:szCs w:val="1"/>
                <w:color w:val="auto"/>
              </w:rPr>
            </w:pPr>
          </w:p>
        </w:tc>
      </w:tr>
      <w:tr>
        <w:trPr>
          <w:trHeight w:val="223"/>
        </w:trPr>
        <w:tc>
          <w:tcPr>
            <w:tcW w:w="8600" w:type="dxa"/>
            <w:vAlign w:val="bottom"/>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436"/>
              <w:spacing w:after="0"/>
              <w:rPr>
                <w:sz w:val="20"/>
                <w:szCs w:val="20"/>
                <w:color w:val="auto"/>
              </w:rPr>
            </w:pPr>
            <w:r>
              <w:rPr>
                <w:rFonts w:ascii="Arial" w:cs="Arial" w:eastAsia="Arial" w:hAnsi="Arial"/>
                <w:sz w:val="18"/>
                <w:szCs w:val="18"/>
                <w:color w:val="auto"/>
                <w:w w:val="93"/>
              </w:rPr>
              <w:t>3,401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8"/>
              </w:rPr>
              <w:t>2,553</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Common Unit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calculate basic and diluted net income/(loss) per common unit by dividing net income/(loss) attributable to PAA (after deducting amounts allocated to preferred unitholders and participating securities) by the basic and diluted weighted average number of common units outstanding during the period. Participating securities include equity-indexed compensation plan awards that have vested distribution equivalent rights, which entitle the grantee to a cash payment equal to the cash distribution paid on our outstanding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When applying the if-converted method prescribed by FASB guidance, the possible conversion of approximately 71 million Series A preferred units, on a weighted-average basis, were excluded from the calculation of diluted net income/(loss) per common unit for the three months ended March 31, 2021 and 2020 as the effect was antidilutive for each period.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 As a result of the hypothetical common unit repurchase, there were no potentially dilutive equity-indexed compensation plan awards for the three months ended March 31, 2021. Potentially dilutive equity-indexed compensation plan awards of approximately 1 million units, on a weighted-average basis, were excluded from the computation of diluted net loss per common unit for the three months ended March 31, 2020 as the effect was antidilutive. See Note 18 to our Consolidated Financial Statements included in Part IV of our 2020 Annual Report on Form 10-K for a discussion of our equity-indexed compensation plan awards.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common unit (in millions, except per unit data):</w:t>
      </w:r>
    </w:p>
    <w:p>
      <w:pPr>
        <w:spacing w:after="0" w:line="286"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1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Net income/(loss) attributable to PAA</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00" w:type="dxa"/>
            <w:vAlign w:val="bottom"/>
            <w:tcBorders>
              <w:bottom w:val="single" w:sz="8" w:color="CCEEFF"/>
            </w:tcBorders>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common units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57"/>
        </w:trPr>
        <w:tc>
          <w:tcPr>
            <w:tcW w:w="8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5"/>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net income/(loss) per common unit</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60" w:right="200" w:hanging="652"/>
        <w:spacing w:after="0" w:line="238"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5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6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5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87"/>
              </w:rPr>
              <w:t xml:space="preserve">Unit </w:t>
            </w:r>
            <w:r>
              <w:rPr>
                <w:rFonts w:ascii="Arial" w:cs="Arial" w:eastAsia="Arial" w:hAnsi="Arial"/>
                <w:sz w:val="18"/>
                <w:szCs w:val="18"/>
                <w:b w:val="1"/>
                <w:bCs w:val="1"/>
                <w:color w:val="auto"/>
                <w:w w:val="87"/>
                <w:vertAlign w:val="superscript"/>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3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8,896</w:t>
            </w: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41.93</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right w:val="single" w:sz="8" w:color="auto"/>
            </w:tcBorders>
            <w:gridSpan w:val="2"/>
          </w:tcPr>
          <w:p>
            <w:pPr>
              <w:ind w:left="36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25,576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Linefill and base gas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57.70</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inventory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60" w:hanging="652"/>
        <w:spacing w:after="0" w:line="227"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420" w:type="dxa"/>
            <w:vAlign w:val="bottom"/>
          </w:tcPr>
          <w:p>
            <w:pPr>
              <w:ind w:left="20"/>
              <w:spacing w:after="0"/>
              <w:rPr>
                <w:sz w:val="20"/>
                <w:szCs w:val="20"/>
                <w:color w:val="auto"/>
              </w:rPr>
            </w:pPr>
            <w:r>
              <w:rPr>
                <w:rFonts w:ascii="Arial" w:cs="Arial" w:eastAsia="Arial" w:hAnsi="Arial"/>
                <w:sz w:val="18"/>
                <w:szCs w:val="18"/>
                <w:color w:val="auto"/>
              </w:rPr>
              <w:t xml:space="preserve">Commercial paper notes, bearing a weighted-average interest rate of 0.6% and 0.7%, respectively </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secured hedged inventory facility, bearing a weighted-average interest rate of 1.2%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short-term debt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Senior notes, net of unamortized discounts and debt issuance costs of $60 and $62, respectively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GO Zone term loans, net of debt issuance costs of $1 and $1, respectively, bearing a weighted-average interest rate</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1.3% and 1.3%, respectively</w:t>
            </w: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560"/>
              <w:spacing w:after="0" w:line="223"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ind w:left="554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8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24599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hanging="11"/>
        <w:spacing w:after="0" w:line="311" w:lineRule="auto"/>
        <w:rPr>
          <w:sz w:val="20"/>
          <w:szCs w:val="20"/>
          <w:color w:val="auto"/>
        </w:rPr>
      </w:pPr>
      <w:r>
        <w:rPr>
          <w:rFonts w:ascii="Arial" w:cs="Arial" w:eastAsia="Arial" w:hAnsi="Arial"/>
          <w:sz w:val="16"/>
          <w:szCs w:val="16"/>
          <w:color w:val="auto"/>
        </w:rPr>
        <w:t>We classified these commercial paper notes as short-term as of March 31, 2021 and December 31, 2020, respectively, and these credit facility borrowings as short-term as of December 31, 2020, as these notes and borrowings were primarily designated as working capital borrowings, were required to be repaid within one year and were primarily for hedged NGL and crude oil inventory and NYMEX and ICE margin deposits.</w:t>
      </w:r>
    </w:p>
    <w:p>
      <w:pPr>
        <w:spacing w:after="0" w:line="41" w:lineRule="exact"/>
        <w:rPr>
          <w:sz w:val="20"/>
          <w:szCs w:val="20"/>
          <w:color w:val="auto"/>
        </w:rPr>
      </w:pPr>
    </w:p>
    <w:p>
      <w:pPr>
        <w:ind w:hanging="11"/>
        <w:spacing w:after="0" w:line="272" w:lineRule="auto"/>
        <w:rPr>
          <w:sz w:val="20"/>
          <w:szCs w:val="20"/>
          <w:color w:val="auto"/>
        </w:rPr>
      </w:pPr>
      <w:r>
        <w:rPr>
          <w:rFonts w:ascii="Arial" w:cs="Arial" w:eastAsia="Arial" w:hAnsi="Arial"/>
          <w:sz w:val="17"/>
          <w:szCs w:val="17"/>
          <w:color w:val="auto"/>
        </w:rPr>
        <w:t>Our fixed-rate senior notes had a face value of approximately $9.1 billion at both March 31, 2021 and December 31, 2020. We estimated the aggregate fair value of these notes as of March 31, 2021 and December 31, 2020 to be approximately $9.5 billion and $9.9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three months ended March 31, 2021 and 2020 were approximately $14.2 billion and $9.6 billion, respectively. Total repayments under our credit facilities and commercial paper program were approximately $14.8 billion and $9.6 billion for the three months ended March 31, 2021 and 2020,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March 31, 2021 and December 31, 2020, we had outstanding letters of credit of $130 million and $129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Limited Partners</w:t>
            </w: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Series A</w:t>
            </w:r>
          </w:p>
        </w:tc>
        <w:tc>
          <w:tcPr>
            <w:tcW w:w="4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11"/>
                <w:szCs w:val="11"/>
                <w:color w:val="auto"/>
              </w:rPr>
            </w:pPr>
          </w:p>
        </w:tc>
        <w:tc>
          <w:tcPr>
            <w:tcW w:w="15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Preferred Units</w:t>
            </w:r>
          </w:p>
        </w:tc>
        <w:tc>
          <w:tcPr>
            <w:tcW w:w="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722,380,416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w w:val="94"/>
              </w:rPr>
              <w:t>Repurchase and cancellation of common units under Common Equity Repurchase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vMerge w:val="continue"/>
          </w:tcPr>
          <w:p>
            <w:pPr>
              <w:spacing w:after="0"/>
              <w:rPr>
                <w:sz w:val="10"/>
                <w:szCs w:val="10"/>
                <w:color w:val="auto"/>
              </w:rPr>
            </w:pPr>
          </w:p>
        </w:tc>
        <w:tc>
          <w:tcPr>
            <w:tcW w:w="63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0"/>
                <w:szCs w:val="10"/>
                <w:color w:val="auto"/>
              </w:rPr>
            </w:pP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60" w:type="dxa"/>
            <w:vAlign w:val="bottom"/>
          </w:tcPr>
          <w:p>
            <w:pPr>
              <w:ind w:left="320"/>
              <w:spacing w:after="0" w:line="230" w:lineRule="exact"/>
              <w:rPr>
                <w:sz w:val="20"/>
                <w:szCs w:val="20"/>
                <w:color w:val="auto"/>
              </w:rPr>
            </w:pPr>
            <w:r>
              <w:rPr>
                <w:rFonts w:ascii="Arial" w:cs="Arial" w:eastAsia="Arial" w:hAnsi="Arial"/>
                <w:sz w:val="18"/>
                <w:szCs w:val="18"/>
                <w:color w:val="auto"/>
              </w:rPr>
              <w:t xml:space="preserve">Program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Outstanding at March 31, 2021</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722,055,847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Series A</w:t>
            </w:r>
          </w:p>
        </w:tc>
        <w:tc>
          <w:tcPr>
            <w:tcW w:w="4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11"/>
                <w:szCs w:val="11"/>
                <w:color w:val="auto"/>
              </w:rPr>
            </w:pPr>
          </w:p>
        </w:tc>
        <w:tc>
          <w:tcPr>
            <w:tcW w:w="15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ind w:left="280"/>
              <w:spacing w:after="0"/>
              <w:rPr>
                <w:sz w:val="20"/>
                <w:szCs w:val="20"/>
                <w:color w:val="auto"/>
              </w:rPr>
            </w:pPr>
            <w:r>
              <w:rPr>
                <w:rFonts w:ascii="Arial" w:cs="Arial" w:eastAsia="Arial" w:hAnsi="Arial"/>
                <w:sz w:val="14"/>
                <w:szCs w:val="14"/>
                <w:b w:val="1"/>
                <w:bCs w:val="1"/>
                <w:color w:val="auto"/>
              </w:rPr>
              <w:t>Preferred Units</w:t>
            </w:r>
          </w:p>
        </w:tc>
        <w:tc>
          <w:tcPr>
            <w:tcW w:w="4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Preferred Units</w:t>
            </w:r>
          </w:p>
        </w:tc>
        <w:tc>
          <w:tcPr>
            <w:tcW w:w="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8"/>
                <w:szCs w:val="18"/>
                <w:color w:val="auto"/>
              </w:rPr>
            </w:pPr>
          </w:p>
        </w:tc>
        <w:tc>
          <w:tcPr>
            <w:tcW w:w="6360" w:type="dxa"/>
            <w:vAlign w:val="bottom"/>
            <w:tcBorders>
              <w:top w:val="single" w:sz="8" w:color="CCEEFF"/>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Outstanding at December 31, 2019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71,090,468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728,028,576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6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24,431</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728,053,007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245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Trades for these units were executed in late December 2020, but settled in early January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3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three months of 2021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786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14,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February 12,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67" w:lineRule="auto"/>
        <w:tabs>
          <w:tab w:leader="none" w:pos="64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April 30, 2021 for the period from January 1, 2021 through March 31, 2021. At March 31, 2021, such amount was accrued as distributions payable in “Other current liabilities” on our Condensed Consolidated Balance Sheet.</w:t>
      </w:r>
    </w:p>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Series B Preferred Unit Distributions</w:t>
      </w:r>
      <w:r>
        <w:rPr>
          <w:rFonts w:ascii="Arial" w:cs="Arial" w:eastAsia="Arial" w:hAnsi="Arial"/>
          <w:sz w:val="17"/>
          <w:szCs w:val="17"/>
          <w:color w:val="auto"/>
        </w:rPr>
        <w:t>. Distributions on our Series B preferred units are payable semi-annually in arrears on the 15th day of May</w:t>
      </w:r>
      <w:r>
        <w:rPr>
          <w:rFonts w:ascii="Arial" w:cs="Arial" w:eastAsia="Arial" w:hAnsi="Arial"/>
          <w:sz w:val="17"/>
          <w:szCs w:val="17"/>
          <w:i w:val="1"/>
          <w:iCs w:val="1"/>
          <w:color w:val="auto"/>
        </w:rPr>
        <w:t xml:space="preserve"> </w:t>
      </w:r>
      <w:r>
        <w:rPr>
          <w:rFonts w:ascii="Arial" w:cs="Arial" w:eastAsia="Arial" w:hAnsi="Arial"/>
          <w:sz w:val="17"/>
          <w:szCs w:val="17"/>
          <w:color w:val="auto"/>
        </w:rPr>
        <w:t>and November. The following table details distributions to be paid to our Series B preferred unitholders (in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17,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3, 2021 for the period from November 15, 2020 through May 14, 2021.</w:t>
      </w:r>
    </w:p>
    <w:p>
      <w:pPr>
        <w:spacing w:after="0" w:line="28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March 31, 2021, approximately $18 million of accrued distributions payable to our Series B preferred unitholders was included in “Other current liabilities” on our Condensed Consolidated Balance Sheet.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2021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Common Unitholders</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4"/>
                <w:szCs w:val="14"/>
                <w:b w:val="1"/>
                <w:bCs w:val="1"/>
                <w:color w:val="auto"/>
                <w:w w:val="94"/>
              </w:rPr>
              <w:t>Cash Distribution per</w:t>
            </w:r>
          </w:p>
        </w:tc>
      </w:tr>
      <w:tr>
        <w:trPr>
          <w:trHeight w:val="201"/>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60" w:type="dxa"/>
            <w:vAlign w:val="bottom"/>
          </w:tcPr>
          <w:p>
            <w:pPr>
              <w:jc w:val="right"/>
              <w:ind w:right="99"/>
              <w:spacing w:after="0"/>
              <w:rPr>
                <w:sz w:val="20"/>
                <w:szCs w:val="20"/>
                <w:color w:val="auto"/>
              </w:rPr>
            </w:pPr>
            <w:r>
              <w:rPr>
                <w:rFonts w:ascii="Arial" w:cs="Arial" w:eastAsia="Arial" w:hAnsi="Arial"/>
                <w:sz w:val="14"/>
                <w:szCs w:val="14"/>
                <w:b w:val="1"/>
                <w:bCs w:val="1"/>
                <w:color w:val="auto"/>
              </w:rPr>
              <w:t>Public</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4"/>
                <w:szCs w:val="14"/>
                <w:b w:val="1"/>
                <w:bCs w:val="1"/>
                <w:color w:val="auto"/>
              </w:rPr>
              <w:t>AAP</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10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Arial" w:cs="Arial" w:eastAsia="Arial" w:hAnsi="Arial"/>
                <w:sz w:val="14"/>
                <w:szCs w:val="14"/>
                <w:b w:val="1"/>
                <w:bCs w:val="1"/>
                <w:color w:val="auto"/>
              </w:rPr>
              <w:t>Common Unit</w:t>
            </w:r>
          </w:p>
        </w:tc>
      </w:tr>
      <w:tr>
        <w:trPr>
          <w:trHeight w:val="224"/>
        </w:trPr>
        <w:tc>
          <w:tcPr>
            <w:tcW w:w="44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14,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February 12, 2021</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240" w:type="dxa"/>
            <w:vAlign w:val="bottom"/>
          </w:tcPr>
          <w:p>
            <w:pPr>
              <w:jc w:val="right"/>
              <w:ind w:right="105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April 30, 2021 for the period from January 1, 2021 through March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March 31, 2021, we paid distributions of $6 million to noncontrolling interests in Red River Pipeline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hydrocarbon commodity (referred to herein as “commodity”) price risk,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6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jc w:val="both"/>
        <w:ind w:right="120" w:firstLine="607"/>
        <w:spacing w:after="0" w:line="311" w:lineRule="auto"/>
        <w:rPr>
          <w:sz w:val="20"/>
          <w:szCs w:val="20"/>
          <w:color w:val="auto"/>
        </w:rPr>
      </w:pPr>
      <w:r>
        <w:rPr>
          <w:rFonts w:ascii="Arial" w:cs="Arial" w:eastAsia="Arial" w:hAnsi="Arial"/>
          <w:sz w:val="16"/>
          <w:szCs w:val="16"/>
          <w:color w:val="auto"/>
        </w:rPr>
        <w:t>At March 31, 2021 and December 31, 2020,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84"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2021, net derivative positions related to these activities included:</w:t>
      </w:r>
    </w:p>
    <w:p>
      <w:pPr>
        <w:spacing w:after="0" w:line="146" w:lineRule="exact"/>
        <w:rPr>
          <w:sz w:val="20"/>
          <w:szCs w:val="20"/>
          <w:color w:val="auto"/>
        </w:rPr>
      </w:pPr>
    </w:p>
    <w:p>
      <w:pPr>
        <w:ind w:left="980" w:right="3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long position of 9.3 million barrels associated with our crude oil purchases, which was unwound ratably during April 2021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short time spread position of 6.5 million barrels, which hedges a portion of our anticipated crude oil lease gathering purchases through June 2022.</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crude oil basis spread position of 1.1 million barrels at multiple locations through December 2022. These derivatives allow us to lock in grade basis differentials.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6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net short position of 20.1 million barrels through December 2022 related to anticipated net sales of crude oil and NGL inventory.</w:t>
      </w:r>
    </w:p>
    <w:p>
      <w:pPr>
        <w:spacing w:after="0" w:line="26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2021:</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Notional Volume</w:t>
            </w:r>
          </w:p>
        </w:tc>
        <w:tc>
          <w:tcPr>
            <w:tcW w:w="2180" w:type="dxa"/>
            <w:vAlign w:val="bottom"/>
          </w:tcPr>
          <w:p>
            <w:pPr>
              <w:spacing w:after="0"/>
              <w:rPr>
                <w:sz w:val="16"/>
                <w:szCs w:val="16"/>
                <w:color w:val="auto"/>
              </w:rPr>
            </w:pPr>
          </w:p>
        </w:tc>
      </w:tr>
      <w:tr>
        <w:trPr>
          <w:trHeight w:val="195"/>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52.5 Bcf</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2022</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Propane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(9.6)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2022</w:t>
            </w:r>
          </w:p>
        </w:tc>
      </w:tr>
      <w:tr>
        <w:trPr>
          <w:trHeight w:val="22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(3.0)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2022</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Condensate sales (WTI position)</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(1.0)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2022</w:t>
            </w:r>
          </w:p>
        </w:tc>
      </w:tr>
      <w:tr>
        <w:trPr>
          <w:trHeight w:val="230"/>
        </w:trPr>
        <w:tc>
          <w:tcPr>
            <w:tcW w:w="66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12.5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04"/>
        </w:trPr>
        <w:tc>
          <w:tcPr>
            <w:tcW w:w="6660" w:type="dxa"/>
            <w:vAlign w:val="bottom"/>
          </w:tcPr>
          <w:p>
            <w:pPr>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0.8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24599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A summary of the impact of our commodity derivatives recognized in earnings as follows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83"/>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Effect of</w:t>
            </w:r>
          </w:p>
        </w:tc>
        <w:tc>
          <w:tcPr>
            <w:tcW w:w="140" w:type="dxa"/>
            <w:vAlign w:val="bottom"/>
          </w:tcPr>
          <w:p>
            <w:pPr>
              <w:spacing w:after="0"/>
              <w:rPr>
                <w:sz w:val="11"/>
                <w:szCs w:val="11"/>
                <w:color w:val="auto"/>
              </w:rPr>
            </w:pPr>
          </w:p>
        </w:tc>
        <w:tc>
          <w:tcPr>
            <w:tcW w:w="10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40" w:type="dxa"/>
            <w:vAlign w:val="bottom"/>
          </w:tcPr>
          <w:p>
            <w:pPr>
              <w:spacing w:after="0"/>
              <w:rPr>
                <w:sz w:val="8"/>
                <w:szCs w:val="8"/>
                <w:color w:val="auto"/>
              </w:rPr>
            </w:pPr>
          </w:p>
        </w:tc>
        <w:tc>
          <w:tcPr>
            <w:tcW w:w="1060" w:type="dxa"/>
            <w:vAlign w:val="bottom"/>
            <w:gridSpan w:val="3"/>
          </w:tcPr>
          <w:p>
            <w:pPr>
              <w:jc w:val="center"/>
              <w:ind w:right="34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Netting</w:t>
            </w:r>
          </w:p>
        </w:tc>
        <w:tc>
          <w:tcPr>
            <w:tcW w:w="14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the terms of our outstanding interest rate derivatives as of March 31, 2021 (notional amounts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 Rate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760" w:type="dxa"/>
            <w:vAlign w:val="bottom"/>
            <w:gridSpan w:val="2"/>
            <w:vMerge w:val="continue"/>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Derivatives Employed</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Termination Date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Locked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0"/>
        </w:trPr>
        <w:tc>
          <w:tcPr>
            <w:tcW w:w="26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6/15/2023</w:t>
            </w: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(30-year)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4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8 forward starting swaps</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(30-year)</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March 31, 2021, there was a net loss of $187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losses of $3 million and $2 million during the three months ended March 31, 2021 and 2020, respectively. Of the total net loss deferred in AOCI at March 31, 2021, we expect to reclassify a loss of $13 million to earnings in the next twelve months. We estimate that substantially all of the remaining deferred loss will be reclassified to earnings through 2054 as the underlying hedged transactions impact earnings. A portion of these amounts is based on market prices as of March 31, 2021; thus, actual amounts to be reclassified will differ and could vary materially as a result of changes in market conditions.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7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6" w:lineRule="exact"/>
        <w:rPr>
          <w:sz w:val="20"/>
          <w:szCs w:val="20"/>
          <w:color w:val="auto"/>
        </w:rPr>
      </w:pPr>
    </w:p>
    <w:p>
      <w:pPr>
        <w:ind w:left="9080"/>
        <w:spacing w:after="0"/>
        <w:tabs>
          <w:tab w:leader="none" w:pos="104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36" w:lineRule="exact"/>
        <w:rPr>
          <w:sz w:val="20"/>
          <w:szCs w:val="20"/>
          <w:color w:val="auto"/>
        </w:rPr>
      </w:pPr>
    </w:p>
    <w:p>
      <w:pPr>
        <w:ind w:left="20"/>
        <w:spacing w:after="0"/>
        <w:tabs>
          <w:tab w:leader="none" w:pos="8600" w:val="left"/>
          <w:tab w:leader="none" w:pos="9600" w:val="left"/>
          <w:tab w:leader="none" w:pos="9960" w:val="left"/>
          <w:tab w:leader="none" w:pos="1090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w:t>
        <w:tab/>
        <w:t>$</w:t>
      </w:r>
      <w:r>
        <w:rPr>
          <w:sz w:val="20"/>
          <w:szCs w:val="20"/>
          <w:color w:val="auto"/>
        </w:rPr>
        <w:tab/>
      </w: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At March 31, 2021, the net fair value of our interest rate hedges, which were included in “Other long-term assets, net” on our Condensed Consolidated Balance Sheet, totaled $114 million. At December 31, 2020, the net fair value of these hedges totaled $46 million and was included in “Other long-term assets,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2021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11"/>
        </w:trPr>
        <w:tc>
          <w:tcPr>
            <w:tcW w:w="6780" w:type="dxa"/>
            <w:vAlign w:val="bottom"/>
            <w:tcBorders>
              <w:top w:val="single" w:sz="8" w:color="CCEEFF"/>
            </w:tcBorders>
            <w:shd w:val="clear" w:color="auto" w:fill="CCEEFF"/>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$1.00 - $1.25</w:t>
            </w:r>
          </w:p>
        </w:tc>
        <w:tc>
          <w:tcPr>
            <w:tcW w:w="0" w:type="dxa"/>
            <w:vAlign w:val="bottom"/>
          </w:tcPr>
          <w:p>
            <w:pPr>
              <w:spacing w:after="0"/>
              <w:rPr>
                <w:sz w:val="1"/>
                <w:szCs w:val="1"/>
                <w:color w:val="auto"/>
              </w:rPr>
            </w:pPr>
          </w:p>
        </w:tc>
      </w:tr>
      <w:tr>
        <w:trPr>
          <w:trHeight w:val="256"/>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These derivatives are not designated in a hedging relationship for accounting purposes. As such, changes in fair value are recognized in earnings as a component of Supply and Logistics segment revenues. For the three months ended March 31, 2021 and 2020, the amounts recognized in earnings for our currency exchange rate hedges were a gain of $1 million and a loss of $6 million, respectively.</w:t>
      </w:r>
    </w:p>
    <w:p>
      <w:pPr>
        <w:spacing w:after="0" w:line="21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At March 31, 2021, the net fair value of these currency exchange rate hedges, which was included in “Other current assets” on our Condensed Consolidated Balance Sheet, totaled $1 million. At December 31, 2020, the net fair value of these currency exchange rate hedges, which was included in “Other current assets” on our Condensed Consolidated Balance Sheet, totaled $2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March 31, 2021 and 2020, we recognized a loss of $67 million and a gain of</w:t>
      </w:r>
    </w:p>
    <w:p>
      <w:pPr>
        <w:spacing w:after="0" w:line="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$26 million, respectively. The fair value of the Preferred Distribution Rate Reset Option, which was included in “Other long-term liabilities and deferred credits” on our Condensed Consolidated Balance Sheets, totaled $81 million and $14 million at March 31, 2021 and December 31, 2020, respectively. See Note 12 to our Consolidated Financial Statements included in Part IV of our 2020 Annual Report on Form 10-K for additional information regarding our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3"/>
              </w:rPr>
              <w:t>Fair Value as of March 31, 2021</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5"/>
              </w:rPr>
              <w:t>Fair Value as of December 31, 2020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7"/>
              </w:rPr>
              <w:t>(11)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3"/>
              </w:rPr>
              <w:t>(15)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19"/>
                <w:szCs w:val="19"/>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center"/>
              <w:ind w:left="11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center"/>
              <w:ind w:left="113"/>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19"/>
                <w:szCs w:val="19"/>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center"/>
              <w:ind w:left="193"/>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center"/>
              <w:ind w:left="233"/>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3"/>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93"/>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08" w:lineRule="auto"/>
        <w:rPr>
          <w:rFonts w:ascii="Arial" w:cs="Arial" w:eastAsia="Arial" w:hAnsi="Arial"/>
          <w:sz w:val="23"/>
          <w:szCs w:val="23"/>
          <w:color w:val="auto"/>
          <w:vertAlign w:val="superscript"/>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46" w:lineRule="exact"/>
        <w:rPr>
          <w:rFonts w:ascii="Arial" w:cs="Arial" w:eastAsia="Arial" w:hAnsi="Arial"/>
          <w:sz w:val="23"/>
          <w:szCs w:val="23"/>
          <w:color w:val="auto"/>
          <w:vertAlign w:val="superscript"/>
        </w:rPr>
      </w:pPr>
    </w:p>
    <w:p>
      <w:pPr>
        <w:ind w:left="660" w:right="12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14" w:lineRule="exact"/>
        <w:rPr>
          <w:rFonts w:ascii="Arial" w:cs="Arial" w:eastAsia="Arial" w:hAnsi="Arial"/>
          <w:sz w:val="23"/>
          <w:szCs w:val="23"/>
          <w:color w:val="auto"/>
          <w:vertAlign w:val="superscript"/>
        </w:rPr>
      </w:pPr>
    </w:p>
    <w:p>
      <w:pPr>
        <w:jc w:val="both"/>
        <w:ind w:left="660" w:right="340"/>
        <w:spacing w:after="0" w:line="301" w:lineRule="auto"/>
        <w:rPr>
          <w:rFonts w:ascii="Arial" w:cs="Arial" w:eastAsia="Arial" w:hAnsi="Arial"/>
          <w:sz w:val="23"/>
          <w:szCs w:val="23"/>
          <w:color w:val="auto"/>
          <w:vertAlign w:val="superscript"/>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93"/>
              </w:rPr>
              <w:t>(51)</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Net losses for the period included in earnings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533"/>
              <w:spacing w:after="0"/>
              <w:rPr>
                <w:sz w:val="20"/>
                <w:szCs w:val="20"/>
                <w:color w:val="auto"/>
              </w:rPr>
            </w:pPr>
            <w:r>
              <w:rPr>
                <w:rFonts w:ascii="Arial" w:cs="Arial" w:eastAsia="Arial" w:hAnsi="Arial"/>
                <w:sz w:val="18"/>
                <w:szCs w:val="18"/>
                <w:color w:val="auto"/>
                <w:w w:val="93"/>
              </w:rPr>
              <w:t>(10)</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99"/>
              </w:rPr>
              <w:t>—</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533"/>
              <w:spacing w:after="0"/>
              <w:rPr>
                <w:sz w:val="20"/>
                <w:szCs w:val="20"/>
                <w:color w:val="auto"/>
              </w:rPr>
            </w:pPr>
            <w:r>
              <w:rPr>
                <w:rFonts w:ascii="Arial" w:cs="Arial" w:eastAsia="Arial" w:hAnsi="Arial"/>
                <w:sz w:val="18"/>
                <w:szCs w:val="18"/>
                <w:color w:val="auto"/>
                <w:w w:val="93"/>
              </w:rPr>
              <w:t>(61)</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w w:val="96"/>
              </w:rPr>
              <w:t>Change in unrealized losses included in earnings relating to Level 3 derivatives still held at the end of the period</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center"/>
              <w:ind w:left="533"/>
              <w:spacing w:after="0"/>
              <w:rPr>
                <w:sz w:val="20"/>
                <w:szCs w:val="20"/>
                <w:color w:val="auto"/>
              </w:rPr>
            </w:pPr>
            <w:r>
              <w:rPr>
                <w:rFonts w:ascii="Arial" w:cs="Arial" w:eastAsia="Arial" w:hAnsi="Arial"/>
                <w:sz w:val="18"/>
                <w:szCs w:val="18"/>
                <w:color w:val="auto"/>
                <w:w w:val="93"/>
              </w:rPr>
              <w:t>(10)</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2020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During the three months ended March 31, 2021 and 2020,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7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8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8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8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8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27" w:lineRule="auto"/>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ind w:left="660" w:right="200" w:hanging="652"/>
        <w:spacing w:after="0" w:line="234" w:lineRule="auto"/>
        <w:tabs>
          <w:tab w:leader="none" w:pos="64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At March 31, 2021, our estimated undiscounted reserve for environmental liabilities (including liabilities related to the Line 901 incident, as discussed further below) totaled $160 million, of which $114 million was classified as short-term and $46 million was classified as long-term. At December 31, 2020, our estimated undiscounted reserve for environmental liabilities (including liabilities related to the Line 901 incident) totaled $141 million, of which $94 million was classified as short-term and $47 million was classified as long-term. Such short-term liabilities are reflected in “Trade accounts payable” and “Other current liabilities” and long-term liabilities are reflected in “Other long-term liabilities and deferred credits” on our Condensed Consolidated Balance Sheets. At March 31, 2021, we had recorded receivables totaling $114 million for amounts probable of recovery under insurance and from third parties under indemnification agreements, of which $113 million was classified as short-term and $1 million was classified as long-term. At December 31, 2020, we had recorded $97 million of such receivables, of which $96 million was classified as short-term and $1 million was classified as long-term. Such short- and long-term receivables are reflected in “Trade accounts receivable and other receivables, net” and “Other long-term assets, net,” respectively, on our Condensed Consolidated Balance Sheets.</w:t>
      </w:r>
    </w:p>
    <w:p>
      <w:pPr>
        <w:spacing w:after="0" w:line="18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only pending matter relating to these proceedings is that the Superior Court indicated that it would conduct further hearings in 2021 on the issue of whether there were any “direct victims” of the spill that are entitled to restitution under applicable law.</w:t>
      </w:r>
    </w:p>
    <w:p>
      <w:pPr>
        <w:spacing w:after="0" w:line="18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A September 2020 trial date initially set by the Court has been postponed indefinitely due to COVID-19 related trial suspensions.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9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four unitholder derivative lawsuits were filed by certain purported investors in the Partnership against PAGP and certain of the Partnership’s affiliates, officers and directors. After various claims were either dismissed or consolidated, one proceeding against PAGP remains pending in Delaware Chancery Court. Generally, the plaintiffs claim that PAGP failed to exercise proper oversight over the Partnership’s pipeline integrity efforts. We will vigorously defend the claim. No trial date has been set in this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We are vigorously defending these suits. We may be subject to additional claims and lawsuits, which could materially impact the liabilities and costs we currently expect to incur as a result of the Line 901 incident.</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March 31, 2021, we estimate that the aggregate total costs we have incurred or will incur with respect to the Line 901 incident will be approximately $485 million, which estimate includes actual and projected emergency response and clean-up costs, natural resource damage assessments, fines and penalties payable pursuant to the Consent Decree and certain third party claims settlements, as well as estimates for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March 31, 2021, we had a remaining undiscounted gross liability of $105 million related to this event, which is reflected in “Trade accounts payable” and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March 31, 2021, we had collected, subject to customary reservations, $250 million out of the approximate $360 million of release costs that we believe are probable of recovery from insurance carriers, net of deductibles. Therefore, as of March 31, 2021, we have recognized a receivable of approximately $110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2020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hanging="11"/>
        <w:spacing w:after="0" w:line="293" w:lineRule="auto"/>
        <w:rPr>
          <w:sz w:val="20"/>
          <w:szCs w:val="20"/>
          <w:color w:val="auto"/>
        </w:rPr>
      </w:pPr>
      <w:r>
        <w:rPr>
          <w:rFonts w:ascii="Arial" w:cs="Arial" w:eastAsia="Arial" w:hAnsi="Arial"/>
          <w:sz w:val="16"/>
          <w:szCs w:val="16"/>
          <w:color w:val="auto"/>
        </w:rPr>
        <w:t>Transportation revenues from External customers include tariff revenue from transporting volumes associated with certain inventory exchanges with our customers where our Supply and Logistics segment has transacted the inventory exchange and serves as the shipper on our pipeline systems. See Note 3 to our Consolidated Financial Statements included in Part IV of our 2020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56" w:lineRule="exact"/>
        <w:rPr>
          <w:sz w:val="20"/>
          <w:szCs w:val="20"/>
          <w:color w:val="auto"/>
        </w:rPr>
      </w:pPr>
    </w:p>
    <w:p>
      <w:pPr>
        <w:ind w:right="16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PAA (in millions):</w:t>
      </w:r>
    </w:p>
    <w:p>
      <w:pPr>
        <w:spacing w:after="0" w:line="27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29"/>
        </w:trPr>
        <w:tc>
          <w:tcPr>
            <w:tcW w:w="8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6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Gains/(losses) from derivative activities and inventory valuation adjustments </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6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86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6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6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6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Goodwill impairment losses</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Income/(loss) before tax</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(2,824)</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(2,845)</w:t>
            </w:r>
          </w:p>
        </w:tc>
      </w:tr>
      <w:tr>
        <w:trPr>
          <w:trHeight w:val="23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r>
      <w:tr>
        <w:trPr>
          <w:trHeight w:val="20"/>
        </w:trPr>
        <w:tc>
          <w:tcPr>
            <w:tcW w:w="8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investing activities, such as the purchase of linefill.</w:t>
      </w:r>
    </w:p>
    <w:p>
      <w:pPr>
        <w:spacing w:after="0" w:line="87"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4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to our Consolidated Financial Statements included in Part IV of our 2020 Annual Report on Form 10-K for a discussion regarding our equity-indexed compensation plans.</w:t>
      </w:r>
    </w:p>
    <w:p>
      <w:pPr>
        <w:spacing w:after="0" w:line="87" w:lineRule="exact"/>
        <w:rPr>
          <w:sz w:val="20"/>
          <w:szCs w:val="20"/>
          <w:color w:val="auto"/>
        </w:rPr>
      </w:pPr>
    </w:p>
    <w:p>
      <w:pPr>
        <w:ind w:hanging="11"/>
        <w:spacing w:after="0" w:line="279" w:lineRule="auto"/>
        <w:rPr>
          <w:sz w:val="20"/>
          <w:szCs w:val="20"/>
          <w:color w:val="auto"/>
        </w:rPr>
      </w:pPr>
      <w:r>
        <w:rPr>
          <w:rFonts w:ascii="Arial" w:cs="Arial" w:eastAsia="Arial" w:hAnsi="Arial"/>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 See Note 8 for discussion regarding our currency exchange rate risk hedging activities.</w:t>
      </w:r>
    </w:p>
    <w:p>
      <w:pPr>
        <w:spacing w:after="0" w:line="63" w:lineRule="exact"/>
        <w:rPr>
          <w:sz w:val="20"/>
          <w:szCs w:val="20"/>
          <w:color w:val="auto"/>
        </w:rPr>
      </w:pPr>
    </w:p>
    <w:p>
      <w:pPr>
        <w:ind w:right="140" w:hanging="11"/>
        <w:spacing w:after="0" w:line="277" w:lineRule="auto"/>
        <w:rPr>
          <w:sz w:val="20"/>
          <w:szCs w:val="20"/>
          <w:color w:val="auto"/>
        </w:rPr>
      </w:pPr>
      <w:r>
        <w:rPr>
          <w:rFonts w:ascii="Arial" w:cs="Arial" w:eastAsia="Arial" w:hAnsi="Arial"/>
          <w:sz w:val="18"/>
          <w:szCs w:val="18"/>
          <w:color w:val="auto"/>
        </w:rPr>
        <w:t>Includes acquisition-related expenses associated with the Felix Midstream LLC acquisition. See Note 7 to our Consolidated Financial Statements included in Part IV of our 2020 Annual Report on Form 10-K for additional discussion.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2020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NGL and natural gas. Our business activities are conducted through three operating segments: Transportation, Facilities and Supply and Logistics. See “—Results of Operations—Analysis of Operating Segments”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first three months of 2021, we recognized net income of $423 million as compared to a net loss of $2.845 billion recognized during the first three months of 2020.</w:t>
      </w:r>
    </w:p>
    <w:p>
      <w:pPr>
        <w:spacing w:after="0" w:line="19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net loss for the 2020 period was primarily driven by goodwill impairment losses of $2.515 billion and was also impacted by non-cash impairment charges of approximately $655 million related to the write-down of certain pipeline and other long-lived assets, certain of our investments in unconsolidated entities, and assets upon classification as held for sale. In addition, we recognized approximately $232 million of inventory valuation adjustments due to declines in commodity prices primarily during the first quarter of 2020.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periods were also driven by:</w:t>
      </w:r>
    </w:p>
    <w:p>
      <w:pPr>
        <w:spacing w:after="0" w:line="252" w:lineRule="exact"/>
        <w:rPr>
          <w:sz w:val="20"/>
          <w:szCs w:val="20"/>
          <w:color w:val="auto"/>
        </w:rPr>
      </w:pPr>
    </w:p>
    <w:p>
      <w:pPr>
        <w:ind w:left="980" w:hanging="324"/>
        <w:spacing w:after="0" w:line="259" w:lineRule="auto"/>
        <w:tabs>
          <w:tab w:leader="none" w:pos="975"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More favorable results from our Supply and Logistics segment in the current period due to the impact of the mark-to-market of certain derivative instruments and inventory valuation adjustments, long-term inventory costing adjustments and decreased field operating costs, partially offset by less favorable crude oil market conditions and volumes due to decreased production related to the COVID-19 pandemic and lower realized NGL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240" w:hanging="324"/>
        <w:spacing w:after="0" w:line="301" w:lineRule="auto"/>
        <w:tabs>
          <w:tab w:leader="none" w:pos="975"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Less favorable results from our Transportation segment in the current period due to the impact of lower volumes driven by the COVID-19 pandemic-related reset to North American production, compounded by production shut-ins from the extreme winter weather event that occurred in February of 2021 (“Winter Storm Uri”), which was partially offset by the recognition of revenue associated with minimum volume commitments and lower power costs, including the impact of gains related to hedged power costs resulting from Winter Storm Uri;</w:t>
      </w:r>
    </w:p>
    <w:p>
      <w:pPr>
        <w:spacing w:after="0" w:line="184" w:lineRule="exact"/>
        <w:rPr>
          <w:rFonts w:ascii="Arial" w:cs="Arial" w:eastAsia="Arial" w:hAnsi="Arial"/>
          <w:sz w:val="16"/>
          <w:szCs w:val="16"/>
          <w:i w:val="1"/>
          <w:iCs w:val="1"/>
          <w:color w:val="auto"/>
        </w:rPr>
      </w:pPr>
    </w:p>
    <w:p>
      <w:pPr>
        <w:jc w:val="both"/>
        <w:ind w:left="980" w:hanging="324"/>
        <w:spacing w:after="0" w:line="286" w:lineRule="auto"/>
        <w:tabs>
          <w:tab w:leader="none" w:pos="975"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Less favorable results from our Facilities segment in the current period due to the impact of the sale of assets in 2020 and a benefit in the 2020 comparative period from the receipt of a deficiency payment, partially offset by increased margins from our natural gas storage operations due to favorable impacts from hub activities related to Winter Storm Uri and lower field operating costs;</w:t>
      </w:r>
    </w:p>
    <w:p>
      <w:pPr>
        <w:spacing w:after="0" w:line="192" w:lineRule="exact"/>
        <w:rPr>
          <w:rFonts w:ascii="Arial" w:cs="Arial" w:eastAsia="Arial" w:hAnsi="Arial"/>
          <w:sz w:val="17"/>
          <w:szCs w:val="17"/>
          <w:i w:val="1"/>
          <w:iCs w:val="1"/>
          <w:color w:val="auto"/>
        </w:rPr>
      </w:pPr>
    </w:p>
    <w:p>
      <w:pPr>
        <w:ind w:left="980" w:right="140" w:hanging="324"/>
        <w:spacing w:after="0" w:line="286" w:lineRule="auto"/>
        <w:tabs>
          <w:tab w:leader="none" w:pos="9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loss of $67 million in the current period from the mark-to-market of our Preferred Distribution Rate Reset Option compared to a gain of $26 million in the 2020 period recognized in “Other expense, net,” partially offset by favorable foreign currency impacts of $7 million in the current period compared to unfavorable foreign currency impacts of $59 million in the 2020 period; and</w:t>
      </w:r>
    </w:p>
    <w:p>
      <w:pPr>
        <w:spacing w:after="0" w:line="192" w:lineRule="exact"/>
        <w:rPr>
          <w:rFonts w:ascii="Arial" w:cs="Arial" w:eastAsia="Arial" w:hAnsi="Arial"/>
          <w:sz w:val="17"/>
          <w:szCs w:val="17"/>
          <w:color w:val="auto"/>
        </w:rPr>
      </w:pPr>
    </w:p>
    <w:p>
      <w:pPr>
        <w:ind w:left="980" w:right="24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gain of $21 million recognized in the 2020 period related to the sale of a portion of our interest in Saddlehorn Pipeline Company, LLC in February 2020.</w:t>
      </w:r>
    </w:p>
    <w:p>
      <w:pPr>
        <w:spacing w:after="0" w:line="19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invested $85 million in midstream infrastructure projects during the three months ended March 31, 2021, which primarily related to projects under development in the Permian Basin.</w:t>
      </w:r>
    </w:p>
    <w:p>
      <w:pPr>
        <w:spacing w:after="0" w:line="19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paid cash distributions of approximately $130 million to our common unitholders and approximately $37 million to our Series A preferred unitholders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44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3"/>
                <w:szCs w:val="23"/>
                <w:color w:val="auto"/>
                <w:vertAlign w:val="superscript"/>
              </w:rPr>
              <w:t>(1)</w:t>
            </w:r>
          </w:p>
        </w:tc>
        <w:tc>
          <w:tcPr>
            <w:tcW w:w="7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Selected items impacting comparability - Segment Adjusted EBITDA</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7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7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72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Basic and diluted net income/(loss) per common unit</w:t>
            </w:r>
          </w:p>
        </w:tc>
        <w:tc>
          <w:tcPr>
            <w:tcW w:w="720" w:type="dxa"/>
            <w:vAlign w:val="bottom"/>
          </w:tcPr>
          <w:p>
            <w:pPr>
              <w:jc w:val="right"/>
              <w:ind w:right="51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common units outstanding</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44" w:lineRule="exact"/>
        <w:rPr>
          <w:sz w:val="20"/>
          <w:szCs w:val="20"/>
          <w:color w:val="auto"/>
        </w:rPr>
      </w:pPr>
    </w:p>
    <w:p>
      <w:pPr>
        <w:ind w:left="660" w:right="280" w:hanging="652"/>
        <w:spacing w:after="0" w:line="267" w:lineRule="auto"/>
        <w:tabs>
          <w:tab w:leader="none" w:pos="64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11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Income/(Loss),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Resources—Liquidity Measures” for additional information regarding Free Cash Flow and Free Cash Flow after Distributions.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w:t>
      </w:r>
    </w:p>
    <w:p>
      <w:pPr>
        <w:spacing w:after="0" w:line="4" w:lineRule="exact"/>
        <w:rPr>
          <w:sz w:val="20"/>
          <w:szCs w:val="20"/>
          <w:color w:val="auto"/>
        </w:rPr>
      </w:pPr>
    </w:p>
    <w:p>
      <w:pPr>
        <w:ind w:right="320" w:firstLine="8"/>
        <w:spacing w:after="0" w:line="281" w:lineRule="auto"/>
        <w:tabs>
          <w:tab w:leader="none" w:pos="2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w:t>
      </w:r>
    </w:p>
    <w:p>
      <w:pPr>
        <w:spacing w:after="0" w:line="1" w:lineRule="exact"/>
        <w:rPr>
          <w:rFonts w:ascii="Arial" w:cs="Arial" w:eastAsia="Arial" w:hAnsi="Arial"/>
          <w:sz w:val="16"/>
          <w:szCs w:val="16"/>
          <w:color w:val="auto"/>
        </w:rPr>
      </w:pPr>
    </w:p>
    <w:p>
      <w:pPr>
        <w:ind w:right="20" w:firstLine="8"/>
        <w:spacing w:after="0" w:line="290"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measures Adjusted EBITDA and Implied DCF from Net Income/(Loss)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632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32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Selected Items Impacting Comparability:</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(Gains)/losses from derivative activities and inventory valuation adjustments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rPr>
                <w:sz w:val="20"/>
                <w:szCs w:val="20"/>
                <w:color w:val="auto"/>
              </w:rPr>
            </w:pPr>
            <w:r>
              <w:rPr>
                <w:rFonts w:ascii="Arial" w:cs="Arial" w:eastAsia="Arial" w:hAnsi="Arial"/>
                <w:sz w:val="18"/>
                <w:szCs w:val="18"/>
                <w:color w:val="auto"/>
              </w:rPr>
              <w:t>Long-term inventory costing adjustments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Deficiencies under minimum volume commitments,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36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 on foreign currency revaluation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360"/>
              <w:spacing w:after="0"/>
              <w:rPr>
                <w:sz w:val="20"/>
                <w:szCs w:val="20"/>
                <w:color w:val="auto"/>
              </w:rPr>
            </w:pPr>
            <w:r>
              <w:rPr>
                <w:rFonts w:ascii="Arial" w:cs="Arial" w:eastAsia="Arial" w:hAnsi="Arial"/>
                <w:sz w:val="18"/>
                <w:szCs w:val="18"/>
                <w:color w:val="auto"/>
              </w:rPr>
              <w:t>Significant acquisition-related expenses</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Selected Items Impacting Comparability - Segment Adjusted EBITDA </w:t>
            </w:r>
            <w:r>
              <w:rPr>
                <w:rFonts w:ascii="Arial" w:cs="Arial" w:eastAsia="Arial" w:hAnsi="Arial"/>
                <w:sz w:val="23"/>
                <w:szCs w:val="23"/>
                <w:color w:val="auto"/>
                <w:vertAlign w:val="superscript"/>
              </w:rPr>
              <w:t>(2)</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(5)</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32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2"/>
                <w:szCs w:val="22"/>
                <w:color w:val="auto"/>
                <w:vertAlign w:val="superscript"/>
              </w:rPr>
              <w:t>(5)</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180"/>
              <w:spacing w:after="0" w:line="243"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(6)</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175"/>
        </w:trPr>
        <w:tc>
          <w:tcPr>
            <w:tcW w:w="6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Distributions from unconsolidated entities in excess of/(less than) adjusted equity</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(8)</w:t>
            </w: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(9)</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(9)</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180"/>
              <w:spacing w:after="0" w:line="243"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44" w:lineRule="exact"/>
        <w:rPr>
          <w:sz w:val="20"/>
          <w:szCs w:val="20"/>
          <w:color w:val="auto"/>
        </w:rPr>
      </w:pPr>
    </w:p>
    <w:p>
      <w:pPr>
        <w:ind w:left="660" w:right="580" w:hanging="652"/>
        <w:spacing w:after="0" w:line="224"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We exclude our proportionate share of the depreciation and amortization expense of such unconsolidated entities when reviewing Adjusted EBITDA, similar to our consolidated assets.</w:t>
      </w:r>
    </w:p>
    <w:p>
      <w:pPr>
        <w:spacing w:after="0" w:line="95" w:lineRule="exact"/>
        <w:rPr>
          <w:rFonts w:ascii="Arial" w:cs="Arial" w:eastAsia="Arial" w:hAnsi="Arial"/>
          <w:sz w:val="23"/>
          <w:szCs w:val="23"/>
          <w:color w:val="auto"/>
          <w:vertAlign w:val="superscript"/>
        </w:rPr>
      </w:pPr>
    </w:p>
    <w:p>
      <w:pPr>
        <w:ind w:left="660" w:hanging="652"/>
        <w:spacing w:after="0" w:line="227"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right="20" w:hanging="652"/>
        <w:spacing w:after="0" w:line="238" w:lineRule="auto"/>
        <w:tabs>
          <w:tab w:leader="none" w:pos="64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The Preferred Distribution Rate Reset Option of our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ectPr>
          <w:pgSz w:w="11900" w:h="16838" w:orient="portrait"/>
          <w:cols w:equalWidth="0" w:num="1">
            <w:col w:w="11220"/>
          </w:cols>
          <w:pgMar w:left="320" w:top="125" w:right="35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0" w:right="260" w:hanging="11"/>
        <w:spacing w:after="0" w:line="259" w:lineRule="auto"/>
        <w:rPr>
          <w:sz w:val="20"/>
          <w:szCs w:val="20"/>
          <w:color w:val="auto"/>
        </w:rPr>
      </w:pPr>
      <w:r>
        <w:rPr>
          <w:rFonts w:ascii="Arial" w:cs="Arial" w:eastAsia="Arial" w:hAnsi="Arial"/>
          <w:sz w:val="18"/>
          <w:szCs w:val="18"/>
          <w:color w:val="auto"/>
        </w:rPr>
        <w:t>During the periods presented, there were fluctuations in the value of the Canadian dollar (“CAD”) to the U.S. dollar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79" w:lineRule="exact"/>
        <w:rPr>
          <w:sz w:val="20"/>
          <w:szCs w:val="20"/>
          <w:color w:val="auto"/>
        </w:rPr>
      </w:pPr>
    </w:p>
    <w:p>
      <w:pPr>
        <w:ind w:left="20" w:right="320" w:hanging="11"/>
        <w:spacing w:after="0" w:line="308" w:lineRule="auto"/>
        <w:rPr>
          <w:sz w:val="20"/>
          <w:szCs w:val="20"/>
          <w:color w:val="auto"/>
        </w:rPr>
      </w:pPr>
      <w:r>
        <w:rPr>
          <w:rFonts w:ascii="Arial" w:cs="Arial" w:eastAsia="Arial" w:hAnsi="Arial"/>
          <w:sz w:val="17"/>
          <w:szCs w:val="17"/>
          <w:color w:val="auto"/>
        </w:rPr>
        <w:t>Other expense, net per our Condensed Consolidated Statements of Operations, adjusted for selected items impacting comparability (“Adjusted Other income/(expense), net”) is included in Adjusted EBITDA and excluded from Segment Adjusted EBITDA.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140"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62"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left="660" w:right="940" w:hanging="652"/>
        <w:spacing w:after="0" w:line="227" w:lineRule="auto"/>
        <w:tabs>
          <w:tab w:leader="none" w:pos="64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w:t>
      </w:r>
    </w:p>
    <w:p>
      <w:pPr>
        <w:spacing w:after="0" w:line="59"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68" w:lineRule="exact"/>
        <w:rPr>
          <w:rFonts w:ascii="Arial" w:cs="Arial" w:eastAsia="Arial" w:hAnsi="Arial"/>
          <w:sz w:val="23"/>
          <w:szCs w:val="23"/>
          <w:color w:val="auto"/>
          <w:vertAlign w:val="superscript"/>
        </w:rPr>
      </w:pPr>
    </w:p>
    <w:p>
      <w:pPr>
        <w:ind w:left="640" w:hanging="632"/>
        <w:spacing w:after="0" w:line="231" w:lineRule="auto"/>
        <w:tabs>
          <w:tab w:leader="none" w:pos="64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11 to our Condensed Consolidated Financial Statements for a reconciliation of Segment Adjusted EBITDA to Net income/(loss) attributable to PAA.</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40" w:type="dxa"/>
            <w:vAlign w:val="bottom"/>
          </w:tcPr>
          <w:p>
            <w:pPr>
              <w:spacing w:after="0"/>
              <w:rPr>
                <w:sz w:val="14"/>
                <w:szCs w:val="14"/>
                <w:color w:val="auto"/>
              </w:rPr>
            </w:pPr>
          </w:p>
        </w:tc>
        <w:tc>
          <w:tcPr>
            <w:tcW w:w="21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42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60" w:type="dxa"/>
            <w:vAlign w:val="bottom"/>
            <w:gridSpan w:val="4"/>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3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43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36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636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63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Losses from derivative activities and inventory valuation adjustments</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4"/>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4"/>
          </w:tcPr>
          <w:p>
            <w:pPr>
              <w:ind w:left="180"/>
              <w:spacing w:after="0"/>
              <w:rPr>
                <w:sz w:val="20"/>
                <w:szCs w:val="20"/>
                <w:color w:val="auto"/>
              </w:rPr>
            </w:pPr>
            <w:r>
              <w:rPr>
                <w:rFonts w:ascii="Arial" w:cs="Arial" w:eastAsia="Arial" w:hAnsi="Arial"/>
                <w:sz w:val="18"/>
                <w:szCs w:val="18"/>
                <w:color w:val="auto"/>
              </w:rPr>
              <w:t>Significant acquisition-related expenses</w:t>
            </w:r>
          </w:p>
        </w:tc>
        <w:tc>
          <w:tcPr>
            <w:tcW w:w="24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color w:val="auto"/>
              </w:rPr>
              <w:t>Maintenance capital</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4"/>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240" w:type="dxa"/>
            <w:vAlign w:val="bottom"/>
          </w:tcPr>
          <w:p>
            <w:pPr>
              <w:spacing w:after="0"/>
              <w:rPr>
                <w:sz w:val="24"/>
                <w:szCs w:val="24"/>
                <w:color w:val="auto"/>
              </w:rPr>
            </w:pPr>
          </w:p>
        </w:tc>
        <w:tc>
          <w:tcPr>
            <w:tcW w:w="21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24"/>
                <w:szCs w:val="24"/>
                <w:color w:val="auto"/>
              </w:rPr>
            </w:pPr>
          </w:p>
        </w:tc>
        <w:tc>
          <w:tcPr>
            <w:tcW w:w="142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3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4"/>
          </w:tcPr>
          <w:p>
            <w:pPr>
              <w:jc w:val="center"/>
              <w:ind w:left="414"/>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20" w:type="dxa"/>
            <w:vAlign w:val="bottom"/>
            <w:gridSpan w:val="3"/>
          </w:tcPr>
          <w:p>
            <w:pPr>
              <w:ind w:left="20"/>
              <w:spacing w:after="0" w:line="184"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Volumes</w:t>
            </w:r>
          </w:p>
        </w:tc>
        <w:tc>
          <w:tcPr>
            <w:tcW w:w="84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4"/>
          </w:tcPr>
          <w:p>
            <w:pPr>
              <w:ind w:left="180"/>
              <w:spacing w:after="0"/>
              <w:rPr>
                <w:sz w:val="20"/>
                <w:szCs w:val="20"/>
                <w:color w:val="auto"/>
              </w:rPr>
            </w:pPr>
            <w:r>
              <w:rPr>
                <w:rFonts w:ascii="Arial" w:cs="Arial" w:eastAsia="Arial" w:hAnsi="Arial"/>
                <w:sz w:val="18"/>
                <w:szCs w:val="18"/>
                <w:color w:val="auto"/>
              </w:rPr>
              <w:t>Crude oil pipelines (by region):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4"/>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360" w:type="dxa"/>
            <w:vAlign w:val="bottom"/>
            <w:gridSpan w:val="4"/>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360" w:type="dxa"/>
            <w:vAlign w:val="bottom"/>
            <w:gridSpan w:val="4"/>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360" w:type="dxa"/>
            <w:vAlign w:val="bottom"/>
            <w:gridSpan w:val="4"/>
          </w:tcPr>
          <w:p>
            <w:pPr>
              <w:ind w:left="360"/>
              <w:spacing w:after="0"/>
              <w:rPr>
                <w:sz w:val="20"/>
                <w:szCs w:val="20"/>
                <w:color w:val="auto"/>
              </w:rPr>
            </w:pPr>
            <w:r>
              <w:rPr>
                <w:rFonts w:ascii="Arial" w:cs="Arial" w:eastAsia="Arial" w:hAnsi="Arial"/>
                <w:sz w:val="18"/>
                <w:szCs w:val="18"/>
                <w:color w:val="auto"/>
              </w:rPr>
              <w:t>Gulf Coast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6360" w:type="dxa"/>
            <w:vAlign w:val="bottom"/>
            <w:gridSpan w:val="4"/>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6360" w:type="dxa"/>
            <w:vAlign w:val="bottom"/>
            <w:gridSpan w:val="4"/>
          </w:tcPr>
          <w:p>
            <w:pPr>
              <w:ind w:left="360"/>
              <w:spacing w:after="0"/>
              <w:rPr>
                <w:sz w:val="20"/>
                <w:szCs w:val="20"/>
                <w:color w:val="auto"/>
              </w:rPr>
            </w:pPr>
            <w:r>
              <w:rPr>
                <w:rFonts w:ascii="Arial" w:cs="Arial" w:eastAsia="Arial" w:hAnsi="Arial"/>
                <w:sz w:val="18"/>
                <w:szCs w:val="18"/>
                <w:color w:val="auto"/>
              </w:rPr>
              <w:t>Western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63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320" w:type="dxa"/>
            <w:vAlign w:val="bottom"/>
            <w:gridSpan w:val="3"/>
          </w:tcPr>
          <w:p>
            <w:pPr>
              <w:ind w:left="180"/>
              <w:spacing w:after="0"/>
              <w:rPr>
                <w:sz w:val="20"/>
                <w:szCs w:val="20"/>
                <w:color w:val="auto"/>
              </w:rPr>
            </w:pPr>
            <w:r>
              <w:rPr>
                <w:rFonts w:ascii="Arial" w:cs="Arial" w:eastAsia="Arial" w:hAnsi="Arial"/>
                <w:sz w:val="18"/>
                <w:szCs w:val="18"/>
                <w:color w:val="auto"/>
              </w:rPr>
              <w:t>Crude oil pipelines</w:t>
            </w: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3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Tariff activities total volumes</w:t>
            </w: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6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Trucking volumes</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360" w:type="dxa"/>
            <w:vAlign w:val="bottom"/>
            <w:gridSpan w:val="4"/>
          </w:tcPr>
          <w:p>
            <w:pPr>
              <w:ind w:left="20"/>
              <w:spacing w:after="0"/>
              <w:rPr>
                <w:sz w:val="20"/>
                <w:szCs w:val="20"/>
                <w:color w:val="auto"/>
              </w:rPr>
            </w:pPr>
            <w:r>
              <w:rPr>
                <w:rFonts w:ascii="Arial" w:cs="Arial" w:eastAsia="Arial" w:hAnsi="Arial"/>
                <w:sz w:val="18"/>
                <w:szCs w:val="18"/>
                <w:color w:val="auto"/>
              </w:rPr>
              <w:t>Transportation segment total volumes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8"/>
          <w:szCs w:val="18"/>
          <w:color w:val="auto"/>
        </w:rPr>
        <w:t xml:space="preserve">  Indicates that variance as a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52" w:lineRule="exact"/>
        <w:rPr>
          <w:sz w:val="20"/>
          <w:szCs w:val="20"/>
          <w:color w:val="auto"/>
        </w:rPr>
      </w:pPr>
    </w:p>
    <w:p>
      <w:pPr>
        <w:ind w:right="40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7"/>
          </w:tcPr>
          <w:p>
            <w:pPr>
              <w:jc w:val="center"/>
              <w:ind w:right="75"/>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35"/>
        </w:trPr>
        <w:tc>
          <w:tcPr>
            <w:tcW w:w="6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60" w:type="dxa"/>
            <w:vAlign w:val="bottom"/>
            <w:gridSpan w:val="7"/>
          </w:tcPr>
          <w:p>
            <w:pPr>
              <w:jc w:val="center"/>
              <w:ind w:right="95"/>
              <w:spacing w:after="0" w:line="135" w:lineRule="exact"/>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2021-2020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Revenues</w:t>
            </w:r>
          </w:p>
        </w:tc>
        <w:tc>
          <w:tcPr>
            <w:tcW w:w="118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Purchases and</w:t>
            </w:r>
          </w:p>
        </w:tc>
        <w:tc>
          <w:tcPr>
            <w:tcW w:w="180" w:type="dxa"/>
            <w:vAlign w:val="bottom"/>
          </w:tcPr>
          <w:p>
            <w:pPr>
              <w:spacing w:after="0"/>
              <w:rPr>
                <w:sz w:val="11"/>
                <w:szCs w:val="11"/>
                <w:color w:val="auto"/>
              </w:rPr>
            </w:pPr>
          </w:p>
        </w:tc>
        <w:tc>
          <w:tcPr>
            <w:tcW w:w="900" w:type="dxa"/>
            <w:vAlign w:val="bottom"/>
          </w:tcPr>
          <w:p>
            <w:pPr>
              <w:jc w:val="right"/>
              <w:ind w:right="255"/>
              <w:spacing w:after="0" w:line="130"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6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Related Costs</w:t>
            </w:r>
          </w:p>
        </w:tc>
        <w:tc>
          <w:tcPr>
            <w:tcW w:w="180" w:type="dxa"/>
            <w:vAlign w:val="bottom"/>
          </w:tcPr>
          <w:p>
            <w:pPr>
              <w:spacing w:after="0"/>
              <w:rPr>
                <w:sz w:val="16"/>
                <w:szCs w:val="16"/>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regions, NGL pipelines, trucking and pipeline loss allowance revenue</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variance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Permian Basin region. </w:t>
      </w:r>
      <w:r>
        <w:rPr>
          <w:rFonts w:ascii="Arial" w:cs="Arial" w:eastAsia="Arial" w:hAnsi="Arial"/>
          <w:sz w:val="16"/>
          <w:szCs w:val="16"/>
          <w:color w:val="auto"/>
        </w:rPr>
        <w:t>Revenues, net of purchases and related costs, (“net revenues”) and equity earnings decreased by $30 million and</w:t>
      </w:r>
    </w:p>
    <w:p>
      <w:pPr>
        <w:spacing w:after="0" w:line="46" w:lineRule="exact"/>
        <w:rPr>
          <w:rFonts w:ascii="Arial" w:cs="Arial" w:eastAsia="Arial" w:hAnsi="Arial"/>
          <w:sz w:val="16"/>
          <w:szCs w:val="16"/>
          <w:b w:val="1"/>
          <w:bCs w:val="1"/>
          <w:i w:val="1"/>
          <w:iCs w:val="1"/>
          <w:color w:val="auto"/>
        </w:rPr>
      </w:pPr>
    </w:p>
    <w:p>
      <w:pPr>
        <w:ind w:left="980" w:right="100"/>
        <w:spacing w:after="0" w:line="270" w:lineRule="auto"/>
        <w:rPr>
          <w:rFonts w:ascii="Arial" w:cs="Arial" w:eastAsia="Arial" w:hAnsi="Arial"/>
          <w:sz w:val="16"/>
          <w:szCs w:val="16"/>
          <w:b w:val="1"/>
          <w:bCs w:val="1"/>
          <w:i w:val="1"/>
          <w:iCs w:val="1"/>
          <w:color w:val="auto"/>
        </w:rPr>
      </w:pPr>
      <w:r>
        <w:rPr>
          <w:rFonts w:ascii="Arial" w:cs="Arial" w:eastAsia="Arial" w:hAnsi="Arial"/>
          <w:sz w:val="17"/>
          <w:szCs w:val="17"/>
          <w:color w:val="auto"/>
        </w:rPr>
        <w:t>$6 million, respectively, for the three months ended March 31, 2021 compared to the same period in 2020 primarily due to lower volumes of crude oil produced in the Permian Basin, driven by the COVID-19 pandemic-related reset to production and compounded by shut-ins from Winter Storm Uri. Such unfavorable impacts were partially offset by the recognition of revenue associated with minimum volume commitments and further for our pipelines reported as equity earnings, lower power costs from Winter Storm Uri. The recognition of previously deferred revenue associated with minimum volume commitments is reflected as an “Adjustment” in the table above as discussed further below under “—</w:t>
      </w:r>
      <w:r>
        <w:rPr>
          <w:rFonts w:ascii="Arial" w:cs="Arial" w:eastAsia="Arial" w:hAnsi="Arial"/>
          <w:sz w:val="17"/>
          <w:szCs w:val="17"/>
          <w:i w:val="1"/>
          <w:iCs w:val="1"/>
          <w:color w:val="auto"/>
        </w:rPr>
        <w:t>Adjustments: Deficiencies under minimum volume commitments, net.</w:t>
      </w:r>
      <w:r>
        <w:rPr>
          <w:rFonts w:ascii="Arial" w:cs="Arial" w:eastAsia="Arial" w:hAnsi="Arial"/>
          <w:sz w:val="17"/>
          <w:szCs w:val="17"/>
          <w:color w:val="auto"/>
        </w:rPr>
        <w:t>”</w:t>
      </w:r>
    </w:p>
    <w:p>
      <w:pPr>
        <w:spacing w:after="0" w:line="205" w:lineRule="exact"/>
        <w:rPr>
          <w:rFonts w:ascii="Arial" w:cs="Arial" w:eastAsia="Arial" w:hAnsi="Arial"/>
          <w:sz w:val="16"/>
          <w:szCs w:val="16"/>
          <w:b w:val="1"/>
          <w:bCs w:val="1"/>
          <w:i w:val="1"/>
          <w:iCs w:val="1"/>
          <w:color w:val="auto"/>
        </w:rPr>
      </w:pPr>
    </w:p>
    <w:p>
      <w:pPr>
        <w:ind w:left="980" w:hanging="324"/>
        <w:spacing w:after="0" w:line="277" w:lineRule="auto"/>
        <w:tabs>
          <w:tab w:leader="none" w:pos="97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Revenues decreased for the three months ended March 31, 2021 compared to the same period in 2020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production, including curtailments from Winter Storm Uri.</w:t>
      </w:r>
    </w:p>
    <w:p>
      <w:pPr>
        <w:spacing w:after="0" w:line="197" w:lineRule="exact"/>
        <w:rPr>
          <w:rFonts w:ascii="Arial" w:cs="Arial" w:eastAsia="Arial" w:hAnsi="Arial"/>
          <w:sz w:val="18"/>
          <w:szCs w:val="18"/>
          <w:b w:val="1"/>
          <w:bCs w:val="1"/>
          <w:i w:val="1"/>
          <w:iCs w:val="1"/>
          <w:color w:val="auto"/>
        </w:rPr>
      </w:pPr>
    </w:p>
    <w:p>
      <w:pPr>
        <w:ind w:left="980" w:right="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Equity earnings from our 50% interest in Eagle Ford Pipeline LLC decreased for the three months ended March 31, 2021 compared to the three months ended March 31, 2020 due to a combination of lower joint tariff volumes from the Permian Basin via our Cactus I pipeline, and to a lesser extent, lower regional receipts, partially offset by the recognition of previously deferred revenue associated with minimum volume commitments. The recognition of such revenue is reflected as an “Adjustment” in the table above as discussed further below under “— </w:t>
      </w:r>
      <w:r>
        <w:rPr>
          <w:rFonts w:ascii="Arial" w:cs="Arial" w:eastAsia="Arial" w:hAnsi="Arial"/>
          <w:sz w:val="18"/>
          <w:szCs w:val="18"/>
          <w:i w:val="1"/>
          <w:iCs w:val="1"/>
          <w:color w:val="auto"/>
        </w:rPr>
        <w:t>Adjustments: Deficiencies under minimum volume commitments, net.</w:t>
      </w:r>
      <w:r>
        <w:rPr>
          <w:rFonts w:ascii="Arial" w:cs="Arial" w:eastAsia="Arial" w:hAnsi="Arial"/>
          <w:sz w:val="18"/>
          <w:szCs w:val="18"/>
          <w:color w:val="auto"/>
        </w:rPr>
        <w:t>”</w:t>
      </w:r>
    </w:p>
    <w:p>
      <w:pPr>
        <w:spacing w:after="0" w:line="214" w:lineRule="exact"/>
        <w:rPr>
          <w:rFonts w:ascii="Arial" w:cs="Arial" w:eastAsia="Arial" w:hAnsi="Arial"/>
          <w:sz w:val="18"/>
          <w:szCs w:val="18"/>
          <w:b w:val="1"/>
          <w:bCs w:val="1"/>
          <w:i w:val="1"/>
          <w:iCs w:val="1"/>
          <w:color w:val="auto"/>
        </w:rPr>
      </w:pPr>
    </w:p>
    <w:p>
      <w:pPr>
        <w:ind w:left="980" w:right="680" w:hanging="324"/>
        <w:spacing w:after="0" w:line="308" w:lineRule="auto"/>
        <w:tabs>
          <w:tab w:leader="none" w:pos="975"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Rocky Mountain region. </w:t>
      </w:r>
      <w:r>
        <w:rPr>
          <w:rFonts w:ascii="Arial" w:cs="Arial" w:eastAsia="Arial" w:hAnsi="Arial"/>
          <w:sz w:val="17"/>
          <w:szCs w:val="17"/>
          <w:color w:val="auto"/>
        </w:rPr>
        <w:t>Equity earnings decreased for the three months ended March 31, 2021 compared to the same period in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absence of higher-tariff volume commitments in the current period on the White Cliffs pipeline.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140" w:hanging="324"/>
        <w:spacing w:after="0" w:line="257" w:lineRule="auto"/>
        <w:tabs>
          <w:tab w:leader="none" w:pos="975"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Other regions, NGL pipelines, trucking and pipeline loss allowance revenue. </w:t>
      </w:r>
      <w:r>
        <w:rPr>
          <w:rFonts w:ascii="Arial" w:cs="Arial" w:eastAsia="Arial" w:hAnsi="Arial"/>
          <w:sz w:val="18"/>
          <w:szCs w:val="18"/>
          <w:color w:val="auto"/>
        </w:rPr>
        <w:t>The decrease in other revenues, net of purchases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the three months ended March 31, 2021 compared to the three months ended March 31, 2020 was primarily due to lower pipeline loss allowance revenue in 2021 primarily due to lower volumes. Additionally, certain of our Canadian crude oil pipelines and related system assets were unfavorably impacted by a decrease in intersegment fees to reflect lower utilization and market rates, which had an offsetting favorable impact on our Supply and Logistics segment.</w:t>
      </w:r>
    </w:p>
    <w:p>
      <w:pPr>
        <w:spacing w:after="0" w:line="21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three months ended March 31, 2021 and 2020, the recognition of previously deferred revenue exceeded amounts billed to counterparties associated with deficiencies under minimum volume commitments.</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2021 compared to the same period in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lower power costs, including the impact of gains related to hedged power costs resulting from Winter Storm Uri and (ii) streamlining efforts which have resulted in decreases in variable costs and maintenance and integrity management costs.</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Maintenance capital consists of capital expenditures for the replacement and/or refurbishment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spending for the three months ended March 31, 2021 compared to the same period in 2020 was primarily due to timing changes, the completion of multi-year reliability improvement programs and application of updated regulatory guidance, among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60" w:type="dxa"/>
            <w:vAlign w:val="bottom"/>
          </w:tcPr>
          <w:p>
            <w:pPr>
              <w:spacing w:after="0"/>
              <w:rPr>
                <w:sz w:val="14"/>
                <w:szCs w:val="14"/>
                <w:color w:val="auto"/>
              </w:rPr>
            </w:pPr>
          </w:p>
        </w:tc>
        <w:tc>
          <w:tcPr>
            <w:tcW w:w="21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4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60" w:type="dxa"/>
            <w:vAlign w:val="bottom"/>
            <w:gridSpan w:val="4"/>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3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60" w:type="dxa"/>
            <w:vAlign w:val="bottom"/>
          </w:tcPr>
          <w:p>
            <w:pPr>
              <w:spacing w:after="0"/>
              <w:rPr>
                <w:sz w:val="15"/>
                <w:szCs w:val="15"/>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36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636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4"/>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14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40" w:type="dxa"/>
            <w:vAlign w:val="bottom"/>
            <w:tcBorders>
              <w:bottom w:val="single" w:sz="8" w:color="auto"/>
            </w:tcBorders>
          </w:tcPr>
          <w:p>
            <w:pPr>
              <w:ind w:left="20"/>
              <w:spacing w:after="0" w:line="184"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6340" w:type="dxa"/>
            <w:vAlign w:val="bottom"/>
            <w:tcBorders>
              <w:bottom w:val="single" w:sz="8" w:color="CCEEFF"/>
            </w:tcBorders>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(5)</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Natural gas storage (average monthly working capacity in billions of cubic feet)</w:t>
            </w:r>
          </w:p>
        </w:tc>
        <w:tc>
          <w:tcPr>
            <w:tcW w:w="2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4"/>
          </w:tcPr>
          <w:p>
            <w:pPr>
              <w:ind w:left="20"/>
              <w:spacing w:after="0" w:line="203" w:lineRule="exact"/>
              <w:rPr>
                <w:sz w:val="20"/>
                <w:szCs w:val="20"/>
                <w:color w:val="auto"/>
              </w:rPr>
            </w:pPr>
            <w:r>
              <w:rPr>
                <w:rFonts w:ascii="Arial" w:cs="Arial" w:eastAsia="Arial" w:hAnsi="Arial"/>
                <w:sz w:val="18"/>
                <w:szCs w:val="18"/>
                <w:color w:val="auto"/>
                <w:w w:val="95"/>
              </w:rPr>
              <w:t xml:space="preserve">Facilities segment total volumes (average monthly volumes in millions of barrels) </w:t>
            </w:r>
            <w:r>
              <w:rPr>
                <w:rFonts w:ascii="Arial" w:cs="Arial" w:eastAsia="Arial" w:hAnsi="Arial"/>
                <w:sz w:val="23"/>
                <w:szCs w:val="23"/>
                <w:color w:val="auto"/>
                <w:w w:val="95"/>
                <w:vertAlign w:val="superscript"/>
              </w:rPr>
              <w:t>(6)</w:t>
            </w:r>
          </w:p>
        </w:tc>
        <w:tc>
          <w:tcPr>
            <w:tcW w:w="2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ectPr>
          <w:pgSz w:w="11900" w:h="16838" w:orient="portrait"/>
          <w:cols w:equalWidth="0" w:num="1">
            <w:col w:w="11240"/>
          </w:cols>
          <w:pgMar w:left="320" w:top="125"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volumes are calculated as total volumes for the period divided by the number of months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40" w:hanging="652"/>
        <w:spacing w:after="0" w:line="269" w:lineRule="auto"/>
        <w:tabs>
          <w:tab w:leader="none" w:pos="648"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right="80" w:hanging="324"/>
        <w:spacing w:after="0" w:line="293" w:lineRule="auto"/>
        <w:tabs>
          <w:tab w:leader="none" w:pos="975"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NGL Operations. </w:t>
      </w:r>
      <w:r>
        <w:rPr>
          <w:rFonts w:ascii="Arial" w:cs="Arial" w:eastAsia="Arial" w:hAnsi="Arial"/>
          <w:sz w:val="16"/>
          <w:szCs w:val="16"/>
          <w:color w:val="auto"/>
        </w:rPr>
        <w:t>Revenues from our NGL operations decreased by $41 million for the three months ended March 31, 2021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2020 primarily due to (i) lower intersegment facility fee revenues due to rate decreases at certain of our storage, fractionation and processing facilities to reflect lower utilization and market rates, which had an offsetting favorable impact on our Supply and Logistics segment, (ii) a benefit in the 2020 comparative period from the receipt of a deficiency payment of approximately $20 million upon the expiration of a multi-year contract and (iii) the sale of certain NGL terminals in the second quarter of 2020. Such unfavorable impacts were partially offset by gains at certain of our fractionation facilities and favorable foreign exchange impacts of approximately $6 million.</w:t>
      </w:r>
    </w:p>
    <w:p>
      <w:pPr>
        <w:spacing w:after="0" w:line="191" w:lineRule="exact"/>
        <w:rPr>
          <w:rFonts w:ascii="Arial" w:cs="Arial" w:eastAsia="Arial" w:hAnsi="Arial"/>
          <w:sz w:val="16"/>
          <w:szCs w:val="16"/>
          <w:i w:val="1"/>
          <w:iCs w:val="1"/>
          <w:color w:val="auto"/>
        </w:rPr>
      </w:pPr>
    </w:p>
    <w:p>
      <w:pPr>
        <w:ind w:left="980" w:right="340" w:hanging="324"/>
        <w:spacing w:after="0" w:line="342" w:lineRule="auto"/>
        <w:tabs>
          <w:tab w:leader="none" w:pos="975"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Crude Oil Storage. </w:t>
      </w:r>
      <w:r>
        <w:rPr>
          <w:rFonts w:ascii="Arial" w:cs="Arial" w:eastAsia="Arial" w:hAnsi="Arial"/>
          <w:sz w:val="16"/>
          <w:szCs w:val="16"/>
          <w:color w:val="auto"/>
        </w:rPr>
        <w:t>Revenues from our crude oil storage operations decreased by $15 million for the three months ended March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three months ended March 31, 2020 primarily due to the sale of our Los Angeles Basin terminals in October of 2020.</w:t>
      </w:r>
    </w:p>
    <w:p>
      <w:pPr>
        <w:spacing w:after="0" w:line="150" w:lineRule="exact"/>
        <w:rPr>
          <w:rFonts w:ascii="Arial" w:cs="Arial" w:eastAsia="Arial" w:hAnsi="Arial"/>
          <w:sz w:val="16"/>
          <w:szCs w:val="16"/>
          <w:i w:val="1"/>
          <w:iCs w:val="1"/>
          <w:color w:val="auto"/>
        </w:rPr>
      </w:pPr>
    </w:p>
    <w:p>
      <w:pPr>
        <w:ind w:left="980" w:right="160" w:hanging="324"/>
        <w:spacing w:after="0" w:line="263" w:lineRule="auto"/>
        <w:tabs>
          <w:tab w:leader="none" w:pos="97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Storage. </w:t>
      </w:r>
      <w:r>
        <w:rPr>
          <w:rFonts w:ascii="Arial" w:cs="Arial" w:eastAsia="Arial" w:hAnsi="Arial"/>
          <w:sz w:val="18"/>
          <w:szCs w:val="18"/>
          <w:color w:val="auto"/>
        </w:rPr>
        <w:t>Revenues, net of purchases and related costs, from our natural gas storage operations increased by $17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compared to the same period in 2020 primarily due to increased margins from hub activities related to Winter Storm Uri.</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2021 compared to the same period in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the sale of our Los Angeles Basin terminals and certain NGL terminals, (ii) streamlining efforts which have resulted in decreases in variable costs and maintenance and integrity management costs and (iii) reduced activity at our rail terminals.</w:t>
      </w:r>
    </w:p>
    <w:p>
      <w:pPr>
        <w:spacing w:after="0" w:line="21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three months ended March 31, 2021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was primarily due to timing changes, the impact of asset sales, the completion of multi-year reliability improvement programs and application of updated regulatory guidance, among other factors.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60" w:type="dxa"/>
            <w:vAlign w:val="bottom"/>
          </w:tcPr>
          <w:p>
            <w:pPr>
              <w:spacing w:after="0"/>
              <w:rPr>
                <w:sz w:val="14"/>
                <w:szCs w:val="14"/>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4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4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6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6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(Gains)/losses from derivative activities and inventory valuation adjustments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Net gain on foreign currency revaluation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260" w:type="dxa"/>
            <w:vAlign w:val="bottom"/>
          </w:tcPr>
          <w:p>
            <w:pPr>
              <w:spacing w:after="0"/>
              <w:rPr>
                <w:sz w:val="24"/>
                <w:szCs w:val="24"/>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14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4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26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Volumes</w:t>
            </w:r>
          </w:p>
        </w:tc>
        <w:tc>
          <w:tcPr>
            <w:tcW w:w="84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NGL sales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63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 volumes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right"/>
        <w:ind w:right="6880"/>
        <w:spacing w:after="0"/>
        <w:rPr>
          <w:sz w:val="20"/>
          <w:szCs w:val="20"/>
          <w:color w:val="auto"/>
        </w:rPr>
      </w:pPr>
      <w:r>
        <w:rPr>
          <w:rFonts w:ascii="Arial" w:cs="Arial" w:eastAsia="Arial" w:hAnsi="Arial"/>
          <w:sz w:val="16"/>
          <w:szCs w:val="16"/>
          <w:color w:val="auto"/>
        </w:rPr>
        <w:t>Indicates that variance as a percentage is not meaningful.</w:t>
      </w:r>
    </w:p>
    <w:p>
      <w:pPr>
        <w:spacing w:after="0" w:line="140" w:lineRule="exact"/>
        <w:rPr>
          <w:sz w:val="20"/>
          <w:szCs w:val="20"/>
          <w:color w:val="auto"/>
        </w:rPr>
      </w:pPr>
    </w:p>
    <w:p>
      <w:pPr>
        <w:jc w:val="right"/>
        <w:ind w:right="6940"/>
        <w:spacing w:after="0"/>
        <w:rPr>
          <w:sz w:val="20"/>
          <w:szCs w:val="20"/>
          <w:color w:val="auto"/>
        </w:rPr>
      </w:pPr>
      <w:r>
        <w:rPr>
          <w:rFonts w:ascii="Arial" w:cs="Arial" w:eastAsia="Arial" w:hAnsi="Arial"/>
          <w:sz w:val="17"/>
          <w:szCs w:val="17"/>
          <w:color w:val="auto"/>
        </w:rPr>
        <w:t>Revenues and costs include intersegment amounts.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94" w:lineRule="exact"/>
        <w:rPr>
          <w:rFonts w:ascii="Arial" w:cs="Arial" w:eastAsia="Arial" w:hAnsi="Arial"/>
          <w:sz w:val="23"/>
          <w:szCs w:val="23"/>
          <w:color w:val="auto"/>
          <w:vertAlign w:val="superscript"/>
        </w:rPr>
      </w:pPr>
    </w:p>
    <w:p>
      <w:pPr>
        <w:ind w:left="660" w:right="2160" w:hanging="652"/>
        <w:spacing w:after="0" w:line="535" w:lineRule="auto"/>
        <w:tabs>
          <w:tab w:leader="none" w:pos="648"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ind w:left="9300"/>
        <w:spacing w:after="0" w:line="227" w:lineRule="auto"/>
        <w:rPr>
          <w:sz w:val="20"/>
          <w:szCs w:val="20"/>
          <w:color w:val="auto"/>
        </w:rPr>
      </w:pPr>
      <w:r>
        <w:rPr>
          <w:rFonts w:ascii="Arial" w:cs="Arial" w:eastAsia="Arial" w:hAnsi="Arial"/>
          <w:sz w:val="14"/>
          <w:szCs w:val="14"/>
          <w:b w:val="1"/>
          <w:bCs w:val="1"/>
          <w:color w:val="auto"/>
        </w:rPr>
        <w:t>NYMEX WTI</w:t>
      </w: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Low</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High</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March 31, 2020</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and inventory valuation and costing adjustments.</w:t>
      </w:r>
    </w:p>
    <w:p>
      <w:pPr>
        <w:spacing w:after="0" w:line="157"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40" w:hanging="324"/>
        <w:spacing w:after="0" w:line="263" w:lineRule="auto"/>
        <w:tabs>
          <w:tab w:leader="none" w:pos="97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operations decreased for the three months ended March 31,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primarily due to less favorable market conditions and lower volumes as a result of decreased production related to the COVID-19 pandemic.</w:t>
      </w:r>
    </w:p>
    <w:p>
      <w:pPr>
        <w:spacing w:after="0" w:line="210" w:lineRule="exact"/>
        <w:rPr>
          <w:rFonts w:ascii="Arial" w:cs="Arial" w:eastAsia="Arial" w:hAnsi="Arial"/>
          <w:sz w:val="18"/>
          <w:szCs w:val="18"/>
          <w:i w:val="1"/>
          <w:iCs w:val="1"/>
          <w:color w:val="auto"/>
        </w:rPr>
      </w:pPr>
    </w:p>
    <w:p>
      <w:pPr>
        <w:jc w:val="both"/>
        <w:ind w:left="980" w:hanging="324"/>
        <w:spacing w:after="0" w:line="311" w:lineRule="auto"/>
        <w:tabs>
          <w:tab w:leader="none" w:pos="975"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NGL Operations. </w:t>
      </w:r>
      <w:r>
        <w:rPr>
          <w:rFonts w:ascii="Arial" w:cs="Arial" w:eastAsia="Arial" w:hAnsi="Arial"/>
          <w:sz w:val="16"/>
          <w:szCs w:val="16"/>
          <w:color w:val="auto"/>
        </w:rPr>
        <w:t>Net revenues from our NGL operations decreased for the three months ended March 31, 2021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2020, primarily due to lower realized margins on our NGL sales activities, partially offset by a decrease in intersegment fees to reflect lower utilization and market rates, which had an offsetting unfavorable impact on our Facilities and Transportation segments.</w:t>
      </w:r>
    </w:p>
    <w:p>
      <w:pPr>
        <w:spacing w:after="0" w:line="148" w:lineRule="exact"/>
        <w:rPr>
          <w:rFonts w:ascii="Arial" w:cs="Arial" w:eastAsia="Arial" w:hAnsi="Arial"/>
          <w:sz w:val="16"/>
          <w:szCs w:val="16"/>
          <w:i w:val="1"/>
          <w:iCs w:val="1"/>
          <w:color w:val="auto"/>
        </w:rPr>
      </w:pPr>
    </w:p>
    <w:p>
      <w:pPr>
        <w:ind w:left="980" w:right="40" w:hanging="324"/>
        <w:spacing w:after="0" w:line="254" w:lineRule="auto"/>
        <w:tabs>
          <w:tab w:leader="none" w:pos="97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and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w:t>
      </w:r>
      <w:r>
        <w:rPr>
          <w:rFonts w:ascii="Arial" w:cs="Arial" w:eastAsia="Arial" w:hAnsi="Arial"/>
          <w:sz w:val="18"/>
          <w:szCs w:val="18"/>
          <w:b w:val="1"/>
          <w:bCs w:val="1"/>
          <w:color w:val="auto"/>
        </w:rPr>
        <w:t>.</w:t>
      </w:r>
      <w:r>
        <w:rPr>
          <w:rFonts w:ascii="Arial" w:cs="Arial" w:eastAsia="Arial" w:hAnsi="Arial"/>
          <w:sz w:val="18"/>
          <w:szCs w:val="18"/>
          <w:color w:val="auto"/>
        </w:rPr>
        <w:t xml:space="preserve"> See Note 8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hanging="324"/>
        <w:spacing w:after="0" w:line="255"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19" w:lineRule="exact"/>
        <w:rPr>
          <w:rFonts w:ascii="Arial" w:cs="Arial" w:eastAsia="Arial" w:hAnsi="Arial"/>
          <w:sz w:val="18"/>
          <w:szCs w:val="18"/>
          <w:color w:val="auto"/>
        </w:rPr>
      </w:pPr>
    </w:p>
    <w:p>
      <w:pPr>
        <w:ind w:left="980" w:right="40" w:hanging="324"/>
        <w:spacing w:after="0" w:line="279"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the realization of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gains and losses on the settlement of foreign currency transactions as well as the revaluation of monetary assets and liabilities denominated in a foreign currency within our Canadian operations. These gains and losses impact our net revenues but are excluded from Segment Adjusted EBITDA and thus are reflected as an “Adjustment” in the table above.</w:t>
      </w:r>
    </w:p>
    <w:p>
      <w:pPr>
        <w:spacing w:after="0" w:line="198" w:lineRule="exact"/>
        <w:rPr>
          <w:rFonts w:ascii="Arial" w:cs="Arial" w:eastAsia="Arial" w:hAnsi="Arial"/>
          <w:sz w:val="17"/>
          <w:szCs w:val="17"/>
          <w:color w:val="auto"/>
        </w:rPr>
      </w:pPr>
    </w:p>
    <w:p>
      <w:pPr>
        <w:ind w:left="980" w:right="20" w:hanging="324"/>
        <w:spacing w:after="0" w:line="263" w:lineRule="auto"/>
        <w:tabs>
          <w:tab w:leader="none" w:pos="97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lower trucking costs from a combination of decreased production related to the COVID-19 pandemic and more supply connected to pipelines resulting in lower trucking activity in the 2021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Depreciation and amortization expense increased for the three months ended March 31, 2021 compared to the three months ended March 31, 2020 largely driven by a reduction in the useful lives of certain assets. See Note 2 to our Condensed Consolidated Financial Statements for additional information.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net loss on asset sales and asset impairments for the three months ended March 31, 2020 was largely driven by (i) non-cash impairment losses of approximately $446 million related to the write-down of certain pipeline and other long-lived assets due to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during the quarter, which were subsequently sold.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first quarter of 2020, we recognized a goodwill impairment charge of $2.515 billion, representing the entire balance of goodwill.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During the three months ended March 31, 2020, we recognized losses of $43 million related to the write-down of certain of our investments in unconsolidated entities. Additionally, during the three months ended March 31, 2020, we recognized a gain of $21 million related to our sale of a 10% interest in Saddlehorn Pipeline Company, LLC.</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274"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4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224"/>
        </w:trPr>
        <w:tc>
          <w:tcPr>
            <w:tcW w:w="90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Gain/(loss) related to mark-to-market adjustment of our Preferred Distribution Rate Reset Option </w:t>
            </w:r>
            <w:r>
              <w:rPr>
                <w:rFonts w:ascii="Arial" w:cs="Arial" w:eastAsia="Arial" w:hAnsi="Arial"/>
                <w:sz w:val="23"/>
                <w:szCs w:val="23"/>
                <w:color w:val="auto"/>
                <w:vertAlign w:val="superscript"/>
              </w:rPr>
              <w:t>(1)</w:t>
            </w: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9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0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9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63"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and (ii) borrowings under our credit facilities or commercial paper program. In addition, we may supplement these primary sources of liquidity with proceeds from our divestiture program and in the past we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our long-term debt and</w:t>
      </w:r>
    </w:p>
    <w:p>
      <w:pPr>
        <w:spacing w:after="0" w:line="2" w:lineRule="exact"/>
        <w:rPr>
          <w:sz w:val="20"/>
          <w:szCs w:val="20"/>
          <w:color w:val="auto"/>
        </w:rPr>
      </w:pPr>
    </w:p>
    <w:p>
      <w:pPr>
        <w:ind w:right="60" w:firstLine="8"/>
        <w:spacing w:after="0" w:line="253"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distributions to our unitholders. In addition, we may use cash for repurchases of common equity.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84" w:lineRule="auto"/>
        <w:rPr>
          <w:sz w:val="20"/>
          <w:szCs w:val="20"/>
          <w:color w:val="auto"/>
        </w:rPr>
      </w:pPr>
      <w:r>
        <w:rPr>
          <w:rFonts w:ascii="Arial" w:cs="Arial" w:eastAsia="Arial" w:hAnsi="Arial"/>
          <w:sz w:val="17"/>
          <w:szCs w:val="17"/>
          <w:color w:val="auto"/>
        </w:rPr>
        <w:t>As of March 31, 2021, although we had a working capital deficit of $254 million, we had approximately $2.8 billion of liquidity available to meet our ongoing operating, investing and financing needs, subject to continued covenant compliance, as noted below (in millions):</w:t>
      </w:r>
    </w:p>
    <w:p>
      <w:pPr>
        <w:sectPr>
          <w:pgSz w:w="11900" w:h="16838" w:orient="portrait"/>
          <w:cols w:equalWidth="0" w:num="1">
            <w:col w:w="11220"/>
          </w:cols>
          <w:pgMar w:left="320" w:top="125" w:right="359" w:bottom="1440" w:gutter="0" w:footer="0" w:header="0"/>
        </w:sect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Availability under senior unsecured revolving credit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0628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 xml:space="preserve">Availability under senior secured hedged inventory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ind w:left="643"/>
        <w:spacing w:after="0" w:line="227" w:lineRule="auto"/>
        <w:rPr>
          <w:sz w:val="20"/>
          <w:szCs w:val="20"/>
          <w:color w:val="auto"/>
        </w:rPr>
      </w:pPr>
      <w:r>
        <w:rPr>
          <w:rFonts w:ascii="Arial" w:cs="Arial" w:eastAsia="Arial" w:hAnsi="Arial"/>
          <w:sz w:val="14"/>
          <w:szCs w:val="14"/>
          <w:b w:val="1"/>
          <w:bCs w:val="1"/>
          <w:color w:val="auto"/>
        </w:rPr>
        <w:t>As of</w:t>
      </w:r>
    </w:p>
    <w:p>
      <w:pPr>
        <w:ind w:left="343"/>
        <w:spacing w:after="0"/>
        <w:rPr>
          <w:sz w:val="20"/>
          <w:szCs w:val="20"/>
          <w:color w:val="auto"/>
        </w:rPr>
      </w:pPr>
      <w:r>
        <w:rPr>
          <w:rFonts w:ascii="Arial" w:cs="Arial" w:eastAsia="Arial" w:hAnsi="Arial"/>
          <w:sz w:val="14"/>
          <w:szCs w:val="14"/>
          <w:b w:val="1"/>
          <w:bCs w:val="1"/>
          <w:color w:val="auto"/>
        </w:rPr>
        <w:t>March 31, 2021</w:t>
      </w:r>
    </w:p>
    <w:p>
      <w:pPr>
        <w:spacing w:after="0" w:line="34" w:lineRule="exact"/>
        <w:rPr>
          <w:sz w:val="20"/>
          <w:szCs w:val="20"/>
          <w:color w:val="auto"/>
        </w:rPr>
      </w:pPr>
    </w:p>
    <w:p>
      <w:pPr>
        <w:ind w:left="1163" w:hanging="1163"/>
        <w:spacing w:after="0"/>
        <w:tabs>
          <w:tab w:leader="none" w:pos="11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1,507</w:t>
      </w:r>
    </w:p>
    <w:p>
      <w:pPr>
        <w:spacing w:after="0" w:line="23" w:lineRule="exact"/>
        <w:rPr>
          <w:rFonts w:ascii="Arial" w:cs="Arial" w:eastAsia="Arial" w:hAnsi="Arial"/>
          <w:sz w:val="18"/>
          <w:szCs w:val="18"/>
          <w:color w:val="auto"/>
        </w:rPr>
      </w:pPr>
    </w:p>
    <w:p>
      <w:pPr>
        <w:ind w:left="1163"/>
        <w:spacing w:after="0"/>
        <w:rPr>
          <w:rFonts w:ascii="Arial" w:cs="Arial" w:eastAsia="Arial" w:hAnsi="Arial"/>
          <w:sz w:val="18"/>
          <w:szCs w:val="18"/>
          <w:color w:val="auto"/>
        </w:rPr>
      </w:pPr>
      <w:r>
        <w:rPr>
          <w:rFonts w:ascii="Arial" w:cs="Arial" w:eastAsia="Arial" w:hAnsi="Arial"/>
          <w:sz w:val="18"/>
          <w:szCs w:val="18"/>
          <w:color w:val="auto"/>
        </w:rPr>
        <w:t>1,363</w:t>
      </w:r>
    </w:p>
    <w:p>
      <w:pPr>
        <w:spacing w:after="0" w:line="22" w:lineRule="exact"/>
        <w:rPr>
          <w:rFonts w:ascii="Arial" w:cs="Arial" w:eastAsia="Arial" w:hAnsi="Arial"/>
          <w:sz w:val="18"/>
          <w:szCs w:val="18"/>
          <w:color w:val="auto"/>
        </w:rPr>
      </w:pPr>
    </w:p>
    <w:p>
      <w:pPr>
        <w:ind w:left="1223"/>
        <w:spacing w:after="0"/>
        <w:rPr>
          <w:rFonts w:ascii="Arial" w:cs="Arial" w:eastAsia="Arial" w:hAnsi="Arial"/>
          <w:sz w:val="18"/>
          <w:szCs w:val="18"/>
          <w:color w:val="auto"/>
        </w:rPr>
      </w:pPr>
      <w:r>
        <w:rPr>
          <w:rFonts w:ascii="Arial" w:cs="Arial" w:eastAsia="Arial" w:hAnsi="Arial"/>
          <w:sz w:val="17"/>
          <w:szCs w:val="17"/>
          <w:color w:val="auto"/>
        </w:rPr>
        <w:t>(137)</w:t>
      </w:r>
    </w:p>
    <w:p>
      <w:pPr>
        <w:spacing w:after="0" w:line="33" w:lineRule="exact"/>
        <w:rPr>
          <w:sz w:val="20"/>
          <w:szCs w:val="20"/>
          <w:color w:val="auto"/>
        </w:rPr>
      </w:pPr>
    </w:p>
    <w:p>
      <w:pPr>
        <w:sectPr>
          <w:pgSz w:w="11900" w:h="16838" w:orient="portrait"/>
          <w:cols w:equalWidth="0" w:num="2">
            <w:col w:w="8837" w:space="720"/>
            <w:col w:w="1663"/>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540" w:type="dxa"/>
            <w:vAlign w:val="bottom"/>
          </w:tcPr>
          <w:p>
            <w:pPr>
              <w:ind w:left="140"/>
              <w:spacing w:after="0"/>
              <w:rPr>
                <w:sz w:val="20"/>
                <w:szCs w:val="20"/>
                <w:color w:val="auto"/>
              </w:rPr>
            </w:pPr>
            <w:r>
              <w:rPr>
                <w:rFonts w:ascii="Arial" w:cs="Arial" w:eastAsia="Arial" w:hAnsi="Arial"/>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9540" w:type="dxa"/>
            <w:vAlign w:val="bottom"/>
          </w:tcPr>
          <w:p>
            <w:pPr>
              <w:ind w:left="1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r>
      <w:tr>
        <w:trPr>
          <w:trHeight w:val="21"/>
        </w:trPr>
        <w:tc>
          <w:tcPr>
            <w:tcW w:w="9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34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w:t>
      </w:r>
    </w:p>
    <w:p>
      <w:pPr>
        <w:spacing w:after="0" w:line="62" w:lineRule="exact"/>
        <w:rPr>
          <w:sz w:val="20"/>
          <w:szCs w:val="20"/>
          <w:color w:val="auto"/>
        </w:rPr>
      </w:pPr>
    </w:p>
    <w:p>
      <w:pPr>
        <w:ind w:right="220" w:hanging="11"/>
        <w:spacing w:after="0" w:line="277" w:lineRule="auto"/>
        <w:rPr>
          <w:sz w:val="20"/>
          <w:szCs w:val="20"/>
          <w:color w:val="auto"/>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$93 million and $37 million, respectively.</w:t>
      </w:r>
    </w:p>
    <w:p>
      <w:pPr>
        <w:spacing w:after="0" w:line="197"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ind w:firstLine="648"/>
        <w:spacing w:after="0" w:line="255" w:lineRule="auto"/>
        <w:rPr>
          <w:sz w:val="20"/>
          <w:szCs w:val="20"/>
          <w:color w:val="auto"/>
        </w:rPr>
      </w:pPr>
      <w:r>
        <w:rPr>
          <w:rFonts w:ascii="Arial" w:cs="Arial" w:eastAsia="Arial" w:hAnsi="Arial"/>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our term loans and the indentures governing our senior notes contain cross-default provisions. A default under our credit agreements or indentures would permit the lenders to accelerate the maturity of the outstanding debt. Additionally, lack of compliance with the provisions in our credit agreements may restrict our ability to make distributions of available cash. We were in compliance with the covenants contained in our credit agreements and indentures as of March 31, 2021.</w:t>
      </w: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2020 Annual Report on Form 10-K for further discussion regarding risks that may impact our 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Measures</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reconciliation of the non-GAAP financial liquidity measures Free Cash Flow and Free Cash Flow 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from Net Cash Provided by Operating Activities (in millions):</w:t>
      </w:r>
    </w:p>
    <w:p>
      <w:pPr>
        <w:spacing w:after="0" w:line="31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cash provided by operating activities to free cash flow:</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8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(2)</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Free Cash Flow after Distributions</w:t>
            </w:r>
          </w:p>
        </w:tc>
        <w:tc>
          <w:tcPr>
            <w:tcW w:w="94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2020 Annual Report on Form 10-K.</w:t>
      </w:r>
    </w:p>
    <w:p>
      <w:pPr>
        <w:spacing w:after="0" w:line="18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Net cash provided by operating activities for the first three months of 2021 and 2020 was $791 million and $890 million,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three months ended March 31, 2021, our cash provided by operating activities was positively impacted by working capital changes, including decreases in the volume of inventory that we held, primarily due to the sale of crude oil inventory that had been stored during the contango market and the sale of NGL inventory related to demand for heating during the winter season. The net proceeds from the liquidation of such inventory were used to repay borrowings under our commercial paper program and credit facilities.</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the three months ended March 31, 2020, our cash provided by operating activities was positively impacted by decreases in the volume of inventory that we held, primarily due to the sale of NGL and crude oil inventory. The favorable effects from the liquidation of such inventory were partially offset by the timing of revenue recognized during the period for which cash was received in prior periods.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our divestiture program. In the near term, we do not plan to issue common equity to fund such expenditures. The following table summarizes our investment, maintenance and acquisition capital expenditures (in millions):</w:t>
      </w:r>
    </w:p>
    <w:p>
      <w:pPr>
        <w:spacing w:after="0" w:line="2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(3)</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8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1"/>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both"/>
        <w:ind w:left="20"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jc w:val="both"/>
        <w:ind w:left="20"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Acquisition capital for 2020 primarily includes a crude oil gathering system located in the Delaware Basin.</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2021 Investment and Maintenance Capital. </w:t>
      </w:r>
      <w:r>
        <w:rPr>
          <w:rFonts w:ascii="Arial" w:cs="Arial" w:eastAsia="Arial" w:hAnsi="Arial"/>
          <w:sz w:val="18"/>
          <w:szCs w:val="18"/>
          <w:color w:val="auto"/>
        </w:rPr>
        <w:t>Total projected investment capital for the year ended December 31, 2021 is $375 million,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 invested in our fee-based Transportation and Facilities segments. Additionally, maintenance capital for the full year of 2021 is projected to be $180 million. We expect to fund our 2021 investment and maintenance capital expenditures with retained cash flow and proceeds from assets sold as part of our divestiture program.</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We continue to evaluate potential sales of non-core assets and/or sales of partial interests in assets to strategic joint venture partners. We are targeting to complete $750 million of asset sales for the full year of 2021. The following table summarizes the proceeds received during the first three months of 2021 and 2020 from sales of assets, which were previously reported in our Transportation and Facilities segments (in millions):</w:t>
      </w:r>
    </w:p>
    <w:p>
      <w:pPr>
        <w:spacing w:after="0" w:line="19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260" w:val="left"/>
          <w:tab w:leader="none" w:pos="9420" w:val="left"/>
          <w:tab w:leader="none" w:pos="9800" w:val="left"/>
          <w:tab w:leader="none" w:pos="10880" w:val="left"/>
        </w:tabs>
        <w:rPr>
          <w:sz w:val="20"/>
          <w:szCs w:val="20"/>
          <w:color w:val="auto"/>
        </w:rPr>
      </w:pPr>
      <w:r>
        <w:rPr>
          <w:rFonts w:ascii="Arial" w:cs="Arial" w:eastAsia="Arial" w:hAnsi="Arial"/>
          <w:sz w:val="18"/>
          <w:szCs w:val="18"/>
          <w:color w:val="auto"/>
        </w:rPr>
        <w:t>Proceeds from divestitures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w:t>
        <w:tab/>
        <w:t>$</w:t>
      </w:r>
      <w:r>
        <w:rPr>
          <w:sz w:val="20"/>
          <w:szCs w:val="20"/>
          <w:color w:val="auto"/>
        </w:rPr>
        <w:tab/>
      </w:r>
      <w:r>
        <w:rPr>
          <w:rFonts w:ascii="Arial" w:cs="Arial" w:eastAsia="Arial" w:hAnsi="Arial"/>
          <w:sz w:val="15"/>
          <w:szCs w:val="15"/>
          <w:color w:val="auto"/>
        </w:rPr>
        <w:t>104</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Proceeds from divestitures were used to fund our investment capital projects and reduce debt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Business—Divestitures, joint ventures, joint ownership arrangements and acquisitions involve risks that may adversely affect our business” included in our 2020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During the three months ended March 31, 2021, we had net repayments on our credit facilities and commercial paper program of $576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9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the three months ended March 31, 2020, we had net repayments on our credit facilities and commercial paper program of $4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periodically access the capital markets for both equity and debt financing. We have filed with the SEC a universal shelf registration statement that, subject to effectiveness at the time of use, allows us to issue, in the aggregate, up to a specified amount of debt or equity securities (“Traditional Shelf”), under which we had approximately $1.1 billion of unsold securities available at March 31, 2021.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Unitholders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included in our 2020 Annual Report on Form 10-K for additional discussion regarding distributions.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7 to our Condensed Consolidated Financial Statements for details of distributions paid during or pertaining to the first three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14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March 31, 2021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2026 and</w:t>
            </w:r>
          </w:p>
        </w:tc>
        <w:tc>
          <w:tcPr>
            <w:tcW w:w="220" w:type="dxa"/>
            <w:vAlign w:val="bottom"/>
          </w:tcPr>
          <w:p>
            <w:pPr>
              <w:spacing w:after="0"/>
              <w:rPr>
                <w:sz w:val="14"/>
                <w:szCs w:val="14"/>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17,216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111,959</w:t>
            </w:r>
          </w:p>
        </w:tc>
        <w:tc>
          <w:tcPr>
            <w:tcW w:w="0" w:type="dxa"/>
            <w:vAlign w:val="bottom"/>
          </w:tcPr>
          <w:p>
            <w:pPr>
              <w:spacing w:after="0"/>
              <w:rPr>
                <w:sz w:val="1"/>
                <w:szCs w:val="1"/>
                <w:color w:val="auto"/>
              </w:rPr>
            </w:pPr>
          </w:p>
        </w:tc>
      </w:tr>
      <w:tr>
        <w:trPr>
          <w:trHeight w:val="223"/>
        </w:trPr>
        <w:tc>
          <w:tcPr>
            <w:tcW w:w="412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129,175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2459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 w:right="140" w:hanging="11"/>
        <w:spacing w:after="0" w:line="255" w:lineRule="auto"/>
        <w:rPr>
          <w:sz w:val="20"/>
          <w:szCs w:val="20"/>
          <w:color w:val="auto"/>
        </w:rPr>
      </w:pPr>
      <w:r>
        <w:rPr>
          <w:rFonts w:ascii="Arial" w:cs="Arial" w:eastAsia="Arial" w:hAnsi="Arial"/>
          <w:sz w:val="18"/>
          <w:szCs w:val="18"/>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6 to our Condensed Consolidated Financial Statements.</w:t>
      </w:r>
    </w:p>
    <w:p>
      <w:pPr>
        <w:spacing w:after="0" w:line="84" w:lineRule="exact"/>
        <w:rPr>
          <w:sz w:val="20"/>
          <w:szCs w:val="20"/>
          <w:color w:val="auto"/>
        </w:rPr>
      </w:pPr>
    </w:p>
    <w:p>
      <w:pPr>
        <w:ind w:left="4" w:right="16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land, (iii) office space, (iv) storage tanks, (v) tractor trailers and (vi) vehicles. See Note 14 to our Consolidated Financial Statements included in Part IV of our 2020 Annual Report on Form 10-K for additional information.</w:t>
      </w:r>
    </w:p>
    <w:p>
      <w:pPr>
        <w:spacing w:after="0" w:line="76" w:lineRule="exact"/>
        <w:rPr>
          <w:sz w:val="20"/>
          <w:szCs w:val="20"/>
          <w:color w:val="auto"/>
        </w:rPr>
      </w:pPr>
    </w:p>
    <w:p>
      <w:pPr>
        <w:ind w:left="4" w:right="14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00" w:hanging="4"/>
        <w:spacing w:after="0" w:line="253" w:lineRule="auto"/>
        <w:tabs>
          <w:tab w:leader="none" w:pos="3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noncancelable commitments related to our investment capital projects, including projected contributions for our share of the capital spending of our equity method investments. The storage, processing and transportation agreements include approximately $1.9 billion associated with agreements to store crude oil at facilities and transport crude oil or utilize capacity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83" w:lineRule="exact"/>
        <w:rPr>
          <w:sz w:val="20"/>
          <w:szCs w:val="20"/>
          <w:color w:val="auto"/>
        </w:rPr>
      </w:pPr>
    </w:p>
    <w:p>
      <w:pPr>
        <w:ind w:left="4" w:right="2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March 2021.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2" w:lineRule="exact"/>
        <w:rPr>
          <w:sz w:val="20"/>
          <w:szCs w:val="20"/>
          <w:color w:val="auto"/>
        </w:rPr>
      </w:pPr>
    </w:p>
    <w:p>
      <w:pPr>
        <w:sectPr>
          <w:pgSz w:w="11900" w:h="16838" w:orient="portrait"/>
          <w:cols w:equalWidth="0" w:num="2">
            <w:col w:w="140" w:space="516"/>
            <w:col w:w="10564"/>
          </w:cols>
          <w:pgMar w:left="320" w:top="125" w:right="359" w:bottom="1440" w:gutter="0" w:footer="0" w:header="0"/>
          <w:type w:val="continuous"/>
        </w:sect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March 31, 2021 and December 31, 2020, we had outstanding letters of credit of approximately $130 million and $129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2020 Annual Report on Form 10-K.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 in Accounting Estimate</w:t>
      </w:r>
    </w:p>
    <w:p>
      <w:pPr>
        <w:spacing w:after="0" w:line="24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early 2021, we conducted a review to assess the useful lives of our property and equipment. Based on this review, we modified the useful lives of certain of our Pipeline and related facilities and Storage, terminal and rail facilities to useful lives of 10 to 50 years from useful lives of 10 to 70 years to reflect current expectations given our future operating and commercial outlook. This change in accounting estimate was effective January 1, 2021. Based on the net carrying amount of this property and equipment as of January 1, 2021, we currently estimate that these useful life reductions will prospectively increase annual depreciation expense by approximately $72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right="60" w:hanging="324"/>
        <w:spacing w:after="0" w:line="254"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86" w:lineRule="exact"/>
        <w:rPr>
          <w:rFonts w:ascii="Arial" w:cs="Arial" w:eastAsia="Arial" w:hAnsi="Arial"/>
          <w:sz w:val="18"/>
          <w:szCs w:val="18"/>
          <w:color w:val="auto"/>
        </w:rPr>
      </w:pPr>
    </w:p>
    <w:p>
      <w:pPr>
        <w:ind w:left="980" w:right="60" w:hanging="324"/>
        <w:spacing w:after="0" w:line="263" w:lineRule="auto"/>
        <w:tabs>
          <w:tab w:leader="none" w:pos="975"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i w:val="1"/>
          <w:iCs w:val="1"/>
          <w:color w:val="auto"/>
        </w:rPr>
      </w:pPr>
    </w:p>
    <w:p>
      <w:pPr>
        <w:ind w:left="980" w:right="360" w:hanging="324"/>
        <w:spacing w:after="0" w:line="342" w:lineRule="auto"/>
        <w:tabs>
          <w:tab w:leader="none" w:pos="9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right="360" w:hanging="324"/>
        <w:spacing w:after="0" w:line="25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jc w:val="both"/>
        <w:ind w:left="980" w:right="380" w:hanging="324"/>
        <w:spacing w:after="0" w:line="342" w:lineRule="auto"/>
        <w:tabs>
          <w:tab w:leader="none" w:pos="9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20" w:hanging="324"/>
        <w:spacing w:after="0" w:line="308" w:lineRule="auto"/>
        <w:tabs>
          <w:tab w:leader="none" w:pos="9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380" w:hanging="324"/>
        <w:spacing w:after="0" w:line="286" w:lineRule="auto"/>
        <w:tabs>
          <w:tab w:leader="none" w:pos="97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57" w:lineRule="exact"/>
        <w:rPr>
          <w:rFonts w:ascii="Arial" w:cs="Arial" w:eastAsia="Arial" w:hAnsi="Arial"/>
          <w:sz w:val="17"/>
          <w:szCs w:val="17"/>
          <w:color w:val="auto"/>
        </w:rPr>
      </w:pPr>
    </w:p>
    <w:p>
      <w:pPr>
        <w:ind w:left="980" w:right="40" w:hanging="324"/>
        <w:spacing w:after="0" w:line="263"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inability of producers, who have made commitments to our pipelines, to access capital to fund their drilling and completion activities;</w:t>
      </w:r>
    </w:p>
    <w:p>
      <w:pPr>
        <w:spacing w:after="0" w:line="128" w:lineRule="exact"/>
        <w:rPr>
          <w:rFonts w:ascii="Arial" w:cs="Arial" w:eastAsia="Arial" w:hAnsi="Arial"/>
          <w:sz w:val="17"/>
          <w:szCs w:val="17"/>
          <w:color w:val="auto"/>
        </w:rPr>
      </w:pPr>
    </w:p>
    <w:p>
      <w:pPr>
        <w:ind w:left="980" w:right="200" w:hanging="324"/>
        <w:spacing w:after="0" w:line="311" w:lineRule="auto"/>
        <w:tabs>
          <w:tab w:leader="none" w:pos="9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40" w:lineRule="exact"/>
        <w:rPr>
          <w:rFonts w:ascii="Arial" w:cs="Arial" w:eastAsia="Arial" w:hAnsi="Arial"/>
          <w:sz w:val="16"/>
          <w:szCs w:val="16"/>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2020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1300" w:right="3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1300" w:right="5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1300" w:right="60"/>
        <w:spacing w:after="0" w:line="263"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6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2021 that would be expected from a 10% price increase or decrease is shown in the table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3"/>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817"/>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797"/>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93"/>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837"/>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March 31, 2021, approximately $337 million, was subject to interest rate re-sets that generally range from one day to approximately one month. The average interest rate on variable rate debt that was outstanding during the three months ended March 31, 2021 was 0.8%, based upon rates in effect during such period. The fair value of our interest rate derivatives was a net asset of $114 million as of March 31, 2021. A 10% increase in the forward LIBOR curve as of March 31, 2021 would have resulted in an increase of $20 million to the fair value of our interest rate derivatives. A 10% decrease in the forward LIBOR curve as of March 31, 2021 would have resulted in a decrease of $20 million to the fair value of our interest rate derivatives. See Note 8 to our Condensed Consolidated Financial Statements for a discussion of our interest rate risk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$1 million as of March 31, 2021. A 10% increase in the exchange rate (USD-to-CAD) would have resulted in a decrease of $6 million to the fair value of our foreign currency derivatives. A 10% decrease in the exchange rate (USD-to-CAD) would have resulted in an increase of $6 million to the fair value of our foreign currency derivatives. See Note 8 to our Condensed Consolidated Financial Statements for a discussion of our currency exchange rate risk hedging.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5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United States treasury rates, default probabilities and timing estimates to ultimately calculate the fair value of our Series A preferred units with and without the Preferred Distribution Rate Reset Option. The fair value of this embedded derivative was a liability of $81 million as of March 31, 2021. A 10% increase or decrease in the fair value would have an impact of $8 million. See Note 8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2021,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a discussion of our risk factors, see Item 1A. of our 2020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equity repurchase activity during the first quarter of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6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Average Price Paid per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 Common Units</w:t>
            </w:r>
          </w:p>
        </w:tc>
        <w:tc>
          <w:tcPr>
            <w:tcW w:w="140" w:type="dxa"/>
            <w:vAlign w:val="bottom"/>
          </w:tcPr>
          <w:p>
            <w:pPr>
              <w:spacing w:after="0"/>
              <w:rPr>
                <w:sz w:val="14"/>
                <w:szCs w:val="14"/>
                <w:color w:val="auto"/>
              </w:rPr>
            </w:pPr>
          </w:p>
        </w:tc>
        <w:tc>
          <w:tcPr>
            <w:tcW w:w="2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Common Units</w:t>
            </w:r>
          </w:p>
        </w:tc>
        <w:tc>
          <w:tcPr>
            <w:tcW w:w="1660" w:type="dxa"/>
            <w:vAlign w:val="bottom"/>
            <w:gridSpan w:val="3"/>
            <w:vMerge w:val="continue"/>
          </w:tcPr>
          <w:p>
            <w:pPr>
              <w:spacing w:after="0"/>
              <w:rPr>
                <w:sz w:val="11"/>
                <w:szCs w:val="11"/>
                <w:color w:val="auto"/>
              </w:rPr>
            </w:pPr>
          </w:p>
        </w:tc>
        <w:tc>
          <w:tcPr>
            <w:tcW w:w="22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21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Common Units that May Yet Be</w:t>
            </w: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6"/>
                <w:szCs w:val="16"/>
                <w:color w:val="auto"/>
              </w:rPr>
            </w:pPr>
          </w:p>
        </w:tc>
        <w:tc>
          <w:tcPr>
            <w:tcW w:w="148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2"/>
              </w:rPr>
              <w:t xml:space="preserve">Common Unit </w:t>
            </w:r>
            <w:r>
              <w:rPr>
                <w:rFonts w:ascii="Arial" w:cs="Arial" w:eastAsia="Arial" w:hAnsi="Arial"/>
                <w:sz w:val="18"/>
                <w:szCs w:val="18"/>
                <w:b w:val="1"/>
                <w:bCs w:val="1"/>
                <w:color w:val="auto"/>
                <w:w w:val="92"/>
                <w:vertAlign w:val="superscript"/>
              </w:rPr>
              <w:t>(1)</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Announced Program</w:t>
            </w:r>
          </w:p>
        </w:tc>
        <w:tc>
          <w:tcPr>
            <w:tcW w:w="214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Purchased under the Program </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2021 - January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350,000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446,761,559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60" w:hanging="11"/>
        <w:spacing w:after="0" w:line="277" w:lineRule="auto"/>
        <w:rPr>
          <w:sz w:val="20"/>
          <w:szCs w:val="20"/>
          <w:color w:val="auto"/>
        </w:rPr>
      </w:pPr>
      <w:r>
        <w:rPr>
          <w:rFonts w:ascii="Arial" w:cs="Arial" w:eastAsia="Arial" w:hAnsi="Arial"/>
          <w:sz w:val="18"/>
          <w:szCs w:val="18"/>
          <w:color w:val="auto"/>
        </w:rPr>
        <w:t>Average price paid per common unit includes costs associated with the repurchases. Trades for these units were executed in late December 2020, but settled in early January 2021.</w:t>
      </w:r>
    </w:p>
    <w:p>
      <w:pPr>
        <w:spacing w:after="0" w:line="62" w:lineRule="exact"/>
        <w:rPr>
          <w:sz w:val="20"/>
          <w:szCs w:val="20"/>
          <w:color w:val="auto"/>
        </w:rPr>
      </w:pPr>
    </w:p>
    <w:p>
      <w:pPr>
        <w:ind w:right="40" w:hanging="11"/>
        <w:spacing w:after="0" w:line="254" w:lineRule="auto"/>
        <w:rPr>
          <w:sz w:val="20"/>
          <w:szCs w:val="20"/>
          <w:color w:val="auto"/>
        </w:rPr>
      </w:pPr>
      <w:r>
        <w:rPr>
          <w:rFonts w:ascii="Arial" w:cs="Arial" w:eastAsia="Arial" w:hAnsi="Arial"/>
          <w:sz w:val="18"/>
          <w:szCs w:val="18"/>
          <w:color w:val="auto"/>
        </w:rPr>
        <w:t>In November 2020, the board of directors of PAA GP Holdings LLC approved a $500 million common equity repurchase program (the “Program”), which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Class A shares that are repurchased will be canceled. No PAGP Class A shares were repurchased during the periods presented. The common units repurchased under the Program during the periods presented were cancelled immediately upon acquisition.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3"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062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0" w:lineRule="exact"/>
        <w:rPr>
          <w:sz w:val="20"/>
          <w:szCs w:val="20"/>
          <w:color w:val="auto"/>
        </w:rPr>
      </w:pPr>
    </w:p>
    <w:p>
      <w:pPr>
        <w:ind w:left="48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106">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ind w:left="1760"/>
        <w:spacing w:after="0"/>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115" w:lineRule="exact"/>
        <w:rPr>
          <w:sz w:val="20"/>
          <w:szCs w:val="20"/>
          <w:color w:val="auto"/>
        </w:rPr>
      </w:pPr>
    </w:p>
    <w:p>
      <w:pPr>
        <w:ind w:left="1380" w:right="6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108" w:lineRule="exact"/>
        <w:rPr>
          <w:sz w:val="20"/>
          <w:szCs w:val="20"/>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26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1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Amendment No. 5 dated December 1, 2019 to the Third Amended and Restated Agreement of Limited Partnership of Plains</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2019).</w:t>
        </w:r>
      </w:hyperlink>
    </w:p>
    <w:p>
      <w:pPr>
        <w:spacing w:after="0" w:line="109" w:lineRule="exact"/>
        <w:rPr>
          <w:rFonts w:ascii="Arial" w:cs="Arial" w:eastAsia="Arial" w:hAnsi="Arial"/>
          <w:sz w:val="18"/>
          <w:szCs w:val="18"/>
          <w:color w:val="auto"/>
        </w:rPr>
      </w:pPr>
    </w:p>
    <w:p>
      <w:pPr>
        <w:ind w:left="138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108" w:lineRule="exact"/>
        <w:rPr>
          <w:sz w:val="20"/>
          <w:szCs w:val="20"/>
          <w:color w:val="auto"/>
        </w:rPr>
      </w:pPr>
    </w:p>
    <w:p>
      <w:pPr>
        <w:ind w:left="1380" w:right="3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Amendment No. 1 dated January 1, 2013 to the Third Amended and Restated Agreement of Limited Partnership of Plains</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Pipeline,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2013).</w:t>
        </w:r>
      </w:hyperlink>
    </w:p>
    <w:p>
      <w:pPr>
        <w:spacing w:after="0" w:line="93" w:lineRule="exact"/>
        <w:rPr>
          <w:rFonts w:ascii="Arial" w:cs="Arial" w:eastAsia="Arial" w:hAnsi="Arial"/>
          <w:sz w:val="18"/>
          <w:szCs w:val="18"/>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r>
        <w:rPr>
          <w:sz w:val="20"/>
          <w:szCs w:val="20"/>
          <w:color w:val="auto"/>
        </w:rPr>
        <w:tab/>
      </w:r>
      <w:hyperlink r:id="rId115">
        <w:r>
          <w:rPr>
            <w:rFonts w:ascii="Arial" w:cs="Arial" w:eastAsia="Arial" w:hAnsi="Arial"/>
            <w:sz w:val="16"/>
            <w:szCs w:val="16"/>
            <w:u w:val="single" w:color="auto"/>
            <w:color w:val="0000FF"/>
          </w:rPr>
          <w:t>Seventh Amended and Restated Limited Liability Company Agreement of Plains All American GP LLC dated November 15,</w:t>
        </w:r>
      </w:hyperlink>
    </w:p>
    <w:p>
      <w:pPr>
        <w:ind w:left="1760"/>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2016 (incorporated by reference to Exhibit 3.3 to our Current Report on Form 8-K filed November 21, 2016).</w:t>
        </w:r>
      </w:hyperlink>
    </w:p>
    <w:p>
      <w:pPr>
        <w:spacing w:after="0" w:line="115" w:lineRule="exact"/>
        <w:rPr>
          <w:rFonts w:ascii="Arial" w:cs="Arial" w:eastAsia="Arial" w:hAnsi="Arial"/>
          <w:sz w:val="18"/>
          <w:szCs w:val="18"/>
          <w:color w:val="auto"/>
        </w:rPr>
      </w:pPr>
    </w:p>
    <w:p>
      <w:pPr>
        <w:ind w:left="1380" w:right="280" w:hanging="1305"/>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FF"/>
          </w:rPr>
          <w:t>reference to Exhibit 3.4 to our Current Report on Form 8-K filed November 21, 2016).</w:t>
        </w:r>
      </w:hyperlink>
    </w:p>
    <w:p>
      <w:pPr>
        <w:spacing w:after="0" w:line="108"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92"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hyperlink r:id="rId118">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ind w:left="1760"/>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15" w:lineRule="exact"/>
        <w:rPr>
          <w:sz w:val="20"/>
          <w:szCs w:val="20"/>
          <w:color w:val="auto"/>
        </w:rPr>
      </w:pPr>
    </w:p>
    <w:p>
      <w:pPr>
        <w:ind w:left="1380" w:right="18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Certificate of Incorporation of PAA Finance Corp. (f/k/a Pacific Energy Finance Corporation, successor-by-merger to PAA</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Finance Corp.)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2006).</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left="440" w:right="800"/>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3.15       —  </w:t>
      </w:r>
      <w:hyperlink r:id="rId121">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121">
        <w:r>
          <w:rPr>
            <w:rFonts w:ascii="Arial" w:cs="Arial" w:eastAsia="Arial" w:hAnsi="Arial"/>
            <w:sz w:val="17"/>
            <w:szCs w:val="17"/>
            <w:u w:val="single" w:color="auto"/>
            <w:color w:val="0000FF"/>
          </w:rPr>
          <w:t>(incorporated by reference to Exhibit 3.11 to our Annual Report on Form 10-K for the year ended December 31, 2006).</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Limited Liability Company Agreement of PAA GP LLC dated December 28, 2007 (incorporated by reference to Exhibit 3.3 to our</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Current Report on Form 8-K filed January 4, 2008).</w:t>
        </w:r>
      </w:hyperlink>
    </w:p>
    <w:p>
      <w:pPr>
        <w:spacing w:after="0" w:line="108" w:lineRule="exact"/>
        <w:rPr>
          <w:sz w:val="20"/>
          <w:szCs w:val="20"/>
          <w:color w:val="auto"/>
        </w:rPr>
      </w:pPr>
    </w:p>
    <w:p>
      <w:pPr>
        <w:ind w:left="1380" w:right="22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Statement on Form S-1 (333-190227) filed July 29, 2013).</w:t>
        </w:r>
      </w:hyperlink>
    </w:p>
    <w:p>
      <w:pPr>
        <w:spacing w:after="0" w:line="108" w:lineRule="exact"/>
        <w:rPr>
          <w:sz w:val="20"/>
          <w:szCs w:val="20"/>
          <w:color w:val="auto"/>
        </w:rPr>
      </w:pPr>
    </w:p>
    <w:p>
      <w:pPr>
        <w:ind w:left="1380" w:right="6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 xml:space="preserve">— </w:t>
      </w:r>
      <w:hyperlink r:id="rId124">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124">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93" w:lineRule="exact"/>
        <w:rPr>
          <w:sz w:val="20"/>
          <w:szCs w:val="20"/>
          <w:color w:val="auto"/>
        </w:rPr>
      </w:pPr>
    </w:p>
    <w:p>
      <w:pPr>
        <w:ind w:left="1380" w:right="40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3.19</w:t>
      </w:r>
      <w:r>
        <w:rPr>
          <w:sz w:val="20"/>
          <w:szCs w:val="20"/>
          <w:color w:val="auto"/>
        </w:rPr>
        <w:tab/>
      </w:r>
      <w:r>
        <w:rPr>
          <w:rFonts w:ascii="Arial" w:cs="Arial" w:eastAsia="Arial" w:hAnsi="Arial"/>
          <w:sz w:val="17"/>
          <w:szCs w:val="17"/>
          <w:color w:val="auto"/>
        </w:rPr>
        <w:t xml:space="preserve">— </w:t>
      </w:r>
      <w:hyperlink r:id="rId125">
        <w:r>
          <w:rPr>
            <w:rFonts w:ascii="Arial" w:cs="Arial" w:eastAsia="Arial" w:hAnsi="Arial"/>
            <w:sz w:val="17"/>
            <w:szCs w:val="17"/>
            <w:u w:val="single" w:color="auto"/>
            <w:color w:val="0000FF"/>
          </w:rPr>
          <w:t>Amendment No. 1 dated April 6, 2020 to the Second Amended and Restated Agreement of Limited Partnership of Plains GP</w:t>
        </w:r>
      </w:hyperlink>
      <w:r>
        <w:rPr>
          <w:rFonts w:ascii="Arial" w:cs="Arial" w:eastAsia="Arial" w:hAnsi="Arial"/>
          <w:sz w:val="17"/>
          <w:szCs w:val="17"/>
          <w:color w:val="auto"/>
        </w:rPr>
        <w:t xml:space="preserve"> </w:t>
      </w:r>
      <w:hyperlink r:id="rId125">
        <w:r>
          <w:rPr>
            <w:rFonts w:ascii="Arial" w:cs="Arial" w:eastAsia="Arial" w:hAnsi="Arial"/>
            <w:sz w:val="17"/>
            <w:szCs w:val="17"/>
            <w:u w:val="single" w:color="auto"/>
            <w:color w:val="0000FF"/>
          </w:rPr>
          <w:t>Holdings, L.P. (incorporated by reference to Exhibit 3.1 to PAGP’s Current Report on Form 8-K filed April 9, 2020).</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Form S-1 (333-190227) filed July 29, 2013).</w:t>
        </w:r>
      </w:hyperlink>
    </w:p>
    <w:p>
      <w:pPr>
        <w:spacing w:after="0" w:line="108" w:lineRule="exact"/>
        <w:rPr>
          <w:sz w:val="20"/>
          <w:szCs w:val="20"/>
          <w:color w:val="auto"/>
        </w:rPr>
      </w:pPr>
    </w:p>
    <w:p>
      <w:pPr>
        <w:ind w:left="1380" w:right="26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108" w:lineRule="exact"/>
        <w:rPr>
          <w:sz w:val="20"/>
          <w:szCs w:val="20"/>
          <w:color w:val="auto"/>
        </w:rPr>
      </w:pPr>
    </w:p>
    <w:p>
      <w:pPr>
        <w:ind w:left="1380" w:right="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 xml:space="preserve">— </w:t>
      </w:r>
      <w:hyperlink r:id="rId128">
        <w:r>
          <w:rPr>
            <w:rFonts w:ascii="Arial" w:cs="Arial" w:eastAsia="Arial" w:hAnsi="Arial"/>
            <w:sz w:val="17"/>
            <w:szCs w:val="17"/>
            <w:u w:val="single" w:color="auto"/>
            <w:color w:val="0000FF"/>
          </w:rPr>
          <w:t>Amendment No. 1 dated October 1, 2018 to the Third Amended and Restated Limited Liability Company Agreement of PAA GP</w:t>
        </w:r>
      </w:hyperlink>
      <w:r>
        <w:rPr>
          <w:rFonts w:ascii="Arial" w:cs="Arial" w:eastAsia="Arial" w:hAnsi="Arial"/>
          <w:sz w:val="17"/>
          <w:szCs w:val="17"/>
          <w:color w:val="auto"/>
        </w:rPr>
        <w:t xml:space="preserve"> </w:t>
      </w:r>
      <w:hyperlink r:id="rId128">
        <w:r>
          <w:rPr>
            <w:rFonts w:ascii="Arial" w:cs="Arial" w:eastAsia="Arial" w:hAnsi="Arial"/>
            <w:sz w:val="17"/>
            <w:szCs w:val="17"/>
            <w:u w:val="single" w:color="auto"/>
            <w:color w:val="0000FF"/>
          </w:rPr>
          <w:t>Holdings LLC (incorporated by reference to Exhibit 3.1 to our Current Report on Form 8-K filed August 20, 2018).</w:t>
        </w:r>
      </w:hyperlink>
    </w:p>
    <w:p>
      <w:pPr>
        <w:spacing w:after="0" w:line="93" w:lineRule="exact"/>
        <w:rPr>
          <w:sz w:val="20"/>
          <w:szCs w:val="20"/>
          <w:color w:val="auto"/>
        </w:rPr>
      </w:pPr>
    </w:p>
    <w:p>
      <w:pPr>
        <w:ind w:left="1380" w:right="10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 xml:space="preserve">— </w:t>
      </w:r>
      <w:hyperlink r:id="rId129">
        <w:r>
          <w:rPr>
            <w:rFonts w:ascii="Arial" w:cs="Arial" w:eastAsia="Arial" w:hAnsi="Arial"/>
            <w:sz w:val="17"/>
            <w:szCs w:val="17"/>
            <w:u w:val="single" w:color="auto"/>
            <w:color w:val="0000FF"/>
          </w:rPr>
          <w:t>Amendment No. 2 dated December 10, 2018 to the Third Amended and Restated Limited Liability Company Agreement of PAA</w:t>
        </w:r>
      </w:hyperlink>
      <w:r>
        <w:rPr>
          <w:rFonts w:ascii="Arial" w:cs="Arial" w:eastAsia="Arial" w:hAnsi="Arial"/>
          <w:sz w:val="17"/>
          <w:szCs w:val="17"/>
          <w:color w:val="auto"/>
        </w:rPr>
        <w:t xml:space="preserve"> </w:t>
      </w:r>
      <w:hyperlink r:id="rId129">
        <w:r>
          <w:rPr>
            <w:rFonts w:ascii="Arial" w:cs="Arial" w:eastAsia="Arial" w:hAnsi="Arial"/>
            <w:sz w:val="17"/>
            <w:szCs w:val="17"/>
            <w:u w:val="single" w:color="auto"/>
            <w:color w:val="0000FF"/>
          </w:rPr>
          <w:t>GP Holdings LLC (incorporated by reference to Exhibit 3.1 to our Current Report on Form 8-K filed December 11, 2018).</w:t>
        </w:r>
      </w:hyperlink>
    </w:p>
    <w:p>
      <w:pPr>
        <w:spacing w:after="0" w:line="93" w:lineRule="exact"/>
        <w:rPr>
          <w:sz w:val="20"/>
          <w:szCs w:val="20"/>
          <w:color w:val="auto"/>
        </w:rPr>
      </w:pPr>
    </w:p>
    <w:p>
      <w:pPr>
        <w:ind w:left="1380" w:right="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3.24</w:t>
      </w:r>
      <w:r>
        <w:rPr>
          <w:sz w:val="20"/>
          <w:szCs w:val="20"/>
          <w:color w:val="auto"/>
        </w:rPr>
        <w:tab/>
      </w:r>
      <w:r>
        <w:rPr>
          <w:rFonts w:ascii="Arial" w:cs="Arial" w:eastAsia="Arial" w:hAnsi="Arial"/>
          <w:sz w:val="17"/>
          <w:szCs w:val="17"/>
          <w:color w:val="auto"/>
        </w:rPr>
        <w:t xml:space="preserve">— </w:t>
      </w:r>
      <w:hyperlink r:id="rId130">
        <w:r>
          <w:rPr>
            <w:rFonts w:ascii="Arial" w:cs="Arial" w:eastAsia="Arial" w:hAnsi="Arial"/>
            <w:sz w:val="17"/>
            <w:szCs w:val="17"/>
            <w:u w:val="single" w:color="auto"/>
            <w:color w:val="0000FF"/>
          </w:rPr>
          <w:t>Amendment No. 3 dated November 21, 2019 to the Third Amended and Restated Limited Liability Company Agreement of PAA</w:t>
        </w:r>
      </w:hyperlink>
      <w:r>
        <w:rPr>
          <w:rFonts w:ascii="Arial" w:cs="Arial" w:eastAsia="Arial" w:hAnsi="Arial"/>
          <w:sz w:val="17"/>
          <w:szCs w:val="17"/>
          <w:color w:val="auto"/>
        </w:rPr>
        <w:t xml:space="preserve"> </w:t>
      </w:r>
      <w:hyperlink r:id="rId130">
        <w:r>
          <w:rPr>
            <w:rFonts w:ascii="Arial" w:cs="Arial" w:eastAsia="Arial" w:hAnsi="Arial"/>
            <w:sz w:val="17"/>
            <w:szCs w:val="17"/>
            <w:u w:val="single" w:color="auto"/>
            <w:color w:val="0000FF"/>
          </w:rPr>
          <w:t>GP Holdings LLC (incorporated by reference to Exhibit 3.1 to our Current Report on Form 8-K filed November 27, 2019).</w:t>
        </w:r>
      </w:hyperlink>
    </w:p>
    <w:p>
      <w:pPr>
        <w:spacing w:after="0" w:line="93" w:lineRule="exact"/>
        <w:rPr>
          <w:sz w:val="20"/>
          <w:szCs w:val="20"/>
          <w:color w:val="auto"/>
        </w:rPr>
      </w:pPr>
    </w:p>
    <w:p>
      <w:pPr>
        <w:ind w:left="1380" w:right="1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 xml:space="preserve">— </w:t>
      </w:r>
      <w:hyperlink r:id="rId131">
        <w:r>
          <w:rPr>
            <w:rFonts w:ascii="Arial" w:cs="Arial" w:eastAsia="Arial" w:hAnsi="Arial"/>
            <w:sz w:val="17"/>
            <w:szCs w:val="17"/>
            <w:u w:val="single" w:color="auto"/>
            <w:color w:val="0000FF"/>
          </w:rPr>
          <w:t>Amendment No. 4 dated February 25, 2021 to the Third Amended and Restated Limited Liability Company Agreement of PAA</w:t>
        </w:r>
      </w:hyperlink>
      <w:r>
        <w:rPr>
          <w:rFonts w:ascii="Arial" w:cs="Arial" w:eastAsia="Arial" w:hAnsi="Arial"/>
          <w:sz w:val="17"/>
          <w:szCs w:val="17"/>
          <w:color w:val="auto"/>
        </w:rPr>
        <w:t xml:space="preserve"> </w:t>
      </w:r>
      <w:hyperlink r:id="rId131">
        <w:r>
          <w:rPr>
            <w:rFonts w:ascii="Arial" w:cs="Arial" w:eastAsia="Arial" w:hAnsi="Arial"/>
            <w:sz w:val="17"/>
            <w:szCs w:val="17"/>
            <w:u w:val="single" w:color="auto"/>
            <w:color w:val="0000FF"/>
          </w:rPr>
          <w:t>GP Holdings LLC (incorporated by reference to Exhibit 3.1 to our Current Report on Form 8-K filed March 3, 2021).</w:t>
        </w:r>
      </w:hyperlink>
    </w:p>
    <w:p>
      <w:pPr>
        <w:spacing w:after="0" w:line="93" w:lineRule="exact"/>
        <w:rPr>
          <w:sz w:val="20"/>
          <w:szCs w:val="20"/>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Association, as trustee (incorporated by reference to Exhibit 4.1 to our Quarterly Report on Form 10-Q for the quarter ended</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September 30, 2002).</w:t>
        </w:r>
      </w:hyperlink>
    </w:p>
    <w:p>
      <w:pPr>
        <w:spacing w:after="0" w:line="109" w:lineRule="exact"/>
        <w:rPr>
          <w:rFonts w:ascii="Arial" w:cs="Arial" w:eastAsia="Arial" w:hAnsi="Arial"/>
          <w:sz w:val="18"/>
          <w:szCs w:val="18"/>
          <w:color w:val="auto"/>
        </w:rPr>
      </w:pPr>
    </w:p>
    <w:p>
      <w:pPr>
        <w:ind w:left="13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Sixth Supplemental Indenture (Series A and Series B 6.70% Senior Notes due 2036) dated May 12, 2006 among Plains All</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American Pipeline, L.P., PAA Finance Corp., the Subsidiary Guarantors named therein and Wachovia Bank, National Association,</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as trustee (incorporated by reference to Exhibit 4.1 to our Current Report on Form 8-K filed May 12, 2006).</w:t>
        </w:r>
      </w:hyperlink>
    </w:p>
    <w:p>
      <w:pPr>
        <w:spacing w:after="0" w:line="109" w:lineRule="exact"/>
        <w:rPr>
          <w:rFonts w:ascii="Arial" w:cs="Arial" w:eastAsia="Arial" w:hAnsi="Arial"/>
          <w:sz w:val="18"/>
          <w:szCs w:val="18"/>
          <w:color w:val="auto"/>
        </w:rPr>
      </w:pPr>
    </w:p>
    <w:p>
      <w:pPr>
        <w:jc w:val="both"/>
        <w:ind w:left="1380" w:right="160" w:hanging="1263"/>
        <w:spacing w:after="0" w:line="237"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 </w:t>
      </w:r>
      <w:hyperlink r:id="rId134">
        <w:r>
          <w:rPr>
            <w:rFonts w:ascii="Arial" w:cs="Arial" w:eastAsia="Arial" w:hAnsi="Arial"/>
            <w:sz w:val="17"/>
            <w:szCs w:val="17"/>
            <w:u w:val="single" w:color="auto"/>
            <w:color w:val="0000FF"/>
          </w:rPr>
          <w:t>Tenth Supplemental Indenture (Series A and Series B 6.650% Senior Notes due 2037) dated October 30, 2006 among Plains All</w:t>
        </w:r>
      </w:hyperlink>
      <w:r>
        <w:rPr>
          <w:rFonts w:ascii="Arial" w:cs="Arial" w:eastAsia="Arial" w:hAnsi="Arial"/>
          <w:sz w:val="17"/>
          <w:szCs w:val="17"/>
          <w:color w:val="auto"/>
        </w:rPr>
        <w:t xml:space="preserve"> </w:t>
      </w:r>
      <w:hyperlink r:id="rId134">
        <w:r>
          <w:rPr>
            <w:rFonts w:ascii="Arial" w:cs="Arial" w:eastAsia="Arial" w:hAnsi="Arial"/>
            <w:sz w:val="17"/>
            <w:szCs w:val="17"/>
            <w:u w:val="single" w:color="auto"/>
            <w:color w:val="0000FF"/>
          </w:rPr>
          <w:t>American Pipeline, L.P., PAA Finance Corp., the Subsidiary Guarantors named therein and U.S. Bank National Association, as</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trustee (incorporated by reference to Exhibit 4.2 to our Current Report on Form 8-K filed October 30, 2006).</w:t>
        </w:r>
      </w:hyperlink>
    </w:p>
    <w:p>
      <w:pPr>
        <w:spacing w:after="0" w:line="109" w:lineRule="exact"/>
        <w:rPr>
          <w:rFonts w:ascii="Arial" w:cs="Arial" w:eastAsia="Arial" w:hAnsi="Arial"/>
          <w:sz w:val="17"/>
          <w:szCs w:val="17"/>
          <w:color w:val="auto"/>
        </w:rPr>
      </w:pPr>
    </w:p>
    <w:p>
      <w:pPr>
        <w:jc w:val="both"/>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FF"/>
          </w:rPr>
          <w:t>Twentieth Supplemental Indenture (3.65% Senior Notes due 2022) dated March 22, 2012 among Plains All American Pipeline,</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FF"/>
          </w:rPr>
          <w:t>L.P., PAA Finance Corp. and U.S. Bank National Association, as trustee (incorporated by reference to Exhibit 4.1 to our Current</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FF"/>
          </w:rPr>
          <w:t>L.P., PAA Finance Corp. and U.S. Bank National Association, as trustee (incorporated by reference to Exhibit 4.3 to our Current</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Report on Form 8-K filed March 26, 2012).</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7"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4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Exhibit 4.1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5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Exhibit 4.3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66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Twenty-Fourth Supplemental Indenture (3.85% Senior Notes due 2023) dated August 15, 2013, by and among Plains All</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Exhibit 4.1 to our Current Report on Form 8-K filed August 15, 2013).</w:t>
        </w:r>
      </w:hyperlink>
    </w:p>
    <w:p>
      <w:pPr>
        <w:spacing w:after="0" w:line="109" w:lineRule="exact"/>
        <w:rPr>
          <w:rFonts w:ascii="Arial" w:cs="Arial" w:eastAsia="Arial" w:hAnsi="Arial"/>
          <w:sz w:val="18"/>
          <w:szCs w:val="18"/>
          <w:color w:val="auto"/>
        </w:rPr>
      </w:pPr>
    </w:p>
    <w:p>
      <w:pPr>
        <w:ind w:left="1380" w:right="100" w:hanging="1263"/>
        <w:spacing w:after="0" w:line="224" w:lineRule="auto"/>
        <w:tabs>
          <w:tab w:leader="none" w:pos="1360" w:val="left"/>
        </w:tabs>
        <w:rPr>
          <w:rFonts w:ascii="Arial" w:cs="Arial" w:eastAsia="Arial" w:hAnsi="Arial"/>
          <w:sz w:val="18"/>
          <w:szCs w:val="18"/>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Current Report on Form 8-K filed April 29, 2014)</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jc w:val="both"/>
        <w:ind w:left="1380" w:right="66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FF"/>
          </w:rPr>
          <w:t>Twenty-Sixth Supplemental Indenture (3.60% Senior Notes due 2024) dated September 9, 2014, by and among Plains All</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Exhibit 4.1 to our Current Report on Form 8-K filed September 11, 2014).</w:t>
        </w:r>
      </w:hyperlink>
    </w:p>
    <w:p>
      <w:pPr>
        <w:spacing w:after="0" w:line="109" w:lineRule="exact"/>
        <w:rPr>
          <w:rFonts w:ascii="Arial" w:cs="Arial" w:eastAsia="Arial" w:hAnsi="Arial"/>
          <w:sz w:val="18"/>
          <w:szCs w:val="18"/>
          <w:color w:val="auto"/>
        </w:rPr>
      </w:pPr>
    </w:p>
    <w:p>
      <w:pPr>
        <w:jc w:val="both"/>
        <w:ind w:left="1380" w:right="580" w:hanging="1305"/>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FF"/>
          </w:rPr>
          <w:t>Twenty-Eighth Supplemental Indenture (4.90% Senior Notes due 2045) dated December 9, 2014, by and among Plains All</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Exhibit 4.3 to our Current Report on Form 8-K filed December 11, 2014).</w:t>
        </w:r>
      </w:hyperlink>
    </w:p>
    <w:p>
      <w:pPr>
        <w:spacing w:after="0" w:line="109" w:lineRule="exact"/>
        <w:rPr>
          <w:rFonts w:ascii="Arial" w:cs="Arial" w:eastAsia="Arial" w:hAnsi="Arial"/>
          <w:sz w:val="18"/>
          <w:szCs w:val="18"/>
          <w:color w:val="auto"/>
        </w:rPr>
      </w:pPr>
    </w:p>
    <w:p>
      <w:pPr>
        <w:jc w:val="both"/>
        <w:ind w:left="1380" w:right="4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FF"/>
          </w:rPr>
          <w:t>Twenty-Ninth Supplemental Indenture (4.65% Senior Notes due 2025) dated August 24, 2015, by and among Plains All American</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Current Report on Form 8-K filed August 26, 2015).</w:t>
        </w:r>
      </w:hyperlink>
    </w:p>
    <w:p>
      <w:pPr>
        <w:spacing w:after="0" w:line="109" w:lineRule="exact"/>
        <w:rPr>
          <w:rFonts w:ascii="Arial" w:cs="Arial" w:eastAsia="Arial" w:hAnsi="Arial"/>
          <w:sz w:val="18"/>
          <w:szCs w:val="18"/>
          <w:color w:val="auto"/>
        </w:rPr>
      </w:pPr>
    </w:p>
    <w:p>
      <w:pPr>
        <w:jc w:val="both"/>
        <w:ind w:left="1380" w:right="100" w:hanging="1308"/>
        <w:spacing w:after="0" w:line="224" w:lineRule="auto"/>
        <w:tabs>
          <w:tab w:leader="none" w:pos="1360" w:val="left"/>
        </w:tabs>
        <w:rPr>
          <w:rFonts w:ascii="Arial" w:cs="Arial" w:eastAsia="Arial" w:hAnsi="Arial"/>
          <w:sz w:val="18"/>
          <w:szCs w:val="18"/>
          <w:color w:val="0000FF"/>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FF"/>
          </w:rPr>
          <w:t>Thirtieth Supplemental Indenture (4.50% Senior Notes due 2026) dated November 22, 2016, by and among Plains All American</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Current Report on Form 8-K filed November 29, 2016)</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ind w:left="1380" w:right="8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Thirty-First Supplemental Indenture (3.55% Senior Notes due 2029) dated September 16, 2019, by and among Plains All</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American Pipeline, L.P., PAA Finance Corp. and U.S. Bank National Association, as trustee (incorporated by reference to Exhibit</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4.1 to our Current Report on Form 8-K filed September 17, 2019).</w:t>
        </w:r>
      </w:hyperlink>
    </w:p>
    <w:p>
      <w:pPr>
        <w:spacing w:after="0" w:line="109" w:lineRule="exact"/>
        <w:rPr>
          <w:rFonts w:ascii="Arial" w:cs="Arial" w:eastAsia="Arial" w:hAnsi="Arial"/>
          <w:sz w:val="18"/>
          <w:szCs w:val="18"/>
          <w:color w:val="auto"/>
        </w:rPr>
      </w:pPr>
    </w:p>
    <w:p>
      <w:pPr>
        <w:ind w:left="1380" w:right="10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FF"/>
          </w:rPr>
          <w:t>Thirty-Second Supplemental Indenture (3.80% Senior Notes due 2030) dated June 11, 2020, by and among Plains All American</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Current Report on Form 8-K filed June 11, 2020).</w:t>
        </w:r>
      </w:hyperlink>
    </w:p>
    <w:p>
      <w:pPr>
        <w:spacing w:after="0" w:line="109" w:lineRule="exact"/>
        <w:rPr>
          <w:rFonts w:ascii="Arial" w:cs="Arial" w:eastAsia="Arial" w:hAnsi="Arial"/>
          <w:sz w:val="18"/>
          <w:szCs w:val="18"/>
          <w:color w:val="auto"/>
        </w:rPr>
      </w:pPr>
    </w:p>
    <w:p>
      <w:pPr>
        <w:ind w:left="1380" w:right="480" w:hanging="1308"/>
        <w:spacing w:after="0" w:line="289" w:lineRule="auto"/>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 xml:space="preserve">— </w:t>
      </w:r>
      <w:hyperlink r:id="rId148">
        <w:r>
          <w:rPr>
            <w:rFonts w:ascii="Arial" w:cs="Arial" w:eastAsia="Arial" w:hAnsi="Arial"/>
            <w:sz w:val="16"/>
            <w:szCs w:val="16"/>
            <w:u w:val="single" w:color="auto"/>
            <w:color w:val="0000FF"/>
          </w:rPr>
          <w:t>Registration Rights Agreement dated September 3, 2009 by and between Plains All American Pipeline, L.P. and Vulcan Gas</w:t>
        </w:r>
      </w:hyperlink>
      <w:r>
        <w:rPr>
          <w:rFonts w:ascii="Arial" w:cs="Arial" w:eastAsia="Arial" w:hAnsi="Arial"/>
          <w:sz w:val="16"/>
          <w:szCs w:val="16"/>
          <w:color w:val="auto"/>
        </w:rPr>
        <w:t xml:space="preserve"> </w:t>
      </w:r>
      <w:hyperlink r:id="rId148">
        <w:r>
          <w:rPr>
            <w:rFonts w:ascii="Arial" w:cs="Arial" w:eastAsia="Arial" w:hAnsi="Arial"/>
            <w:sz w:val="16"/>
            <w:szCs w:val="16"/>
            <w:u w:val="single" w:color="auto"/>
            <w:color w:val="0000FF"/>
          </w:rPr>
          <w:t>Storage LLC (incorporated by reference to Exhibit 4.1 to our Registration Statement on Form S-3, File No. 333-162477).</w:t>
        </w:r>
      </w:hyperlink>
    </w:p>
    <w:p>
      <w:pPr>
        <w:spacing w:after="0" w:line="70" w:lineRule="exact"/>
        <w:rPr>
          <w:sz w:val="20"/>
          <w:szCs w:val="20"/>
          <w:color w:val="auto"/>
        </w:rPr>
      </w:pPr>
    </w:p>
    <w:p>
      <w:pPr>
        <w:ind w:left="1380" w:right="12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4.17</w:t>
      </w:r>
      <w:r>
        <w:rPr>
          <w:sz w:val="20"/>
          <w:szCs w:val="20"/>
          <w:color w:val="auto"/>
        </w:rPr>
        <w:tab/>
      </w:r>
      <w:r>
        <w:rPr>
          <w:rFonts w:ascii="Arial" w:cs="Arial" w:eastAsia="Arial" w:hAnsi="Arial"/>
          <w:sz w:val="17"/>
          <w:szCs w:val="17"/>
          <w:color w:val="auto"/>
        </w:rPr>
        <w:t xml:space="preserve">— </w:t>
      </w:r>
      <w:hyperlink r:id="rId149">
        <w:r>
          <w:rPr>
            <w:rFonts w:ascii="Arial" w:cs="Arial" w:eastAsia="Arial" w:hAnsi="Arial"/>
            <w:sz w:val="17"/>
            <w:szCs w:val="17"/>
            <w:u w:val="single" w:color="auto"/>
            <w:color w:val="0000FF"/>
          </w:rPr>
          <w:t>Registration Rights Agreement dated as of January 28, 2016 among Plains All American Pipeline, L.P. and the Purchasers named</w:t>
        </w:r>
      </w:hyperlink>
      <w:r>
        <w:rPr>
          <w:rFonts w:ascii="Arial" w:cs="Arial" w:eastAsia="Arial" w:hAnsi="Arial"/>
          <w:sz w:val="17"/>
          <w:szCs w:val="17"/>
          <w:color w:val="auto"/>
        </w:rPr>
        <w:t xml:space="preserve"> </w:t>
      </w:r>
      <w:hyperlink r:id="rId149">
        <w:r>
          <w:rPr>
            <w:rFonts w:ascii="Arial" w:cs="Arial" w:eastAsia="Arial" w:hAnsi="Arial"/>
            <w:sz w:val="17"/>
            <w:szCs w:val="17"/>
            <w:u w:val="single" w:color="auto"/>
            <w:color w:val="0000FF"/>
          </w:rPr>
          <w:t>therein (incorporated by reference to Exhibit 4.1 to our Current Report on Form 8-K filed February 2, 2016).</w:t>
        </w:r>
      </w:hyperlink>
    </w:p>
    <w:p>
      <w:pPr>
        <w:spacing w:after="0" w:line="77"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w:t>
      </w:r>
      <w:r>
        <w:rPr>
          <w:sz w:val="20"/>
          <w:szCs w:val="20"/>
          <w:color w:val="auto"/>
        </w:rPr>
        <w:tab/>
      </w:r>
      <w:hyperlink r:id="rId150">
        <w:r>
          <w:rPr>
            <w:rFonts w:ascii="Arial" w:cs="Arial" w:eastAsia="Arial" w:hAnsi="Arial"/>
            <w:sz w:val="16"/>
            <w:szCs w:val="16"/>
            <w:u w:val="single" w:color="auto"/>
            <w:color w:val="0000FF"/>
          </w:rPr>
          <w:t>Registration Rights Agreement by and among Plains All American Pipeline, L.P. and the Holders defined therein, dated November</w:t>
        </w:r>
      </w:hyperlink>
    </w:p>
    <w:p>
      <w:pPr>
        <w:ind w:left="176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15, 2016 (incorporated by reference to Exhibit 10.4 to our Current Report on Form 8-K filed November 21, 2016).</w:t>
        </w:r>
      </w:hyperlink>
    </w:p>
    <w:p>
      <w:pPr>
        <w:spacing w:after="0" w:line="115" w:lineRule="exact"/>
        <w:rPr>
          <w:sz w:val="20"/>
          <w:szCs w:val="20"/>
          <w:color w:val="auto"/>
        </w:rPr>
      </w:pPr>
    </w:p>
    <w:p>
      <w:pPr>
        <w:ind w:left="1380" w:right="24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Description of Our Securities (incorporated by reference to Exhibit 4.19 to our Annual Report on Form 10-K for the year ended</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December 31, 2020).</w:t>
        </w:r>
      </w:hyperlink>
    </w:p>
    <w:p>
      <w:pPr>
        <w:spacing w:after="0" w:line="108" w:lineRule="exact"/>
        <w:rPr>
          <w:sz w:val="20"/>
          <w:szCs w:val="20"/>
          <w:color w:val="auto"/>
        </w:rPr>
      </w:pPr>
    </w:p>
    <w:p>
      <w:pPr>
        <w:ind w:left="38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color w:val="auto"/>
        </w:rPr>
        <w:t>—</w:t>
      </w:r>
      <w:r>
        <w:rPr>
          <w:sz w:val="20"/>
          <w:szCs w:val="20"/>
          <w:color w:val="auto"/>
        </w:rPr>
        <w:tab/>
      </w:r>
      <w:hyperlink w:anchor="page62">
        <w:r>
          <w:rPr>
            <w:rFonts w:ascii="Arial" w:cs="Arial" w:eastAsia="Arial" w:hAnsi="Arial"/>
            <w:sz w:val="16"/>
            <w:szCs w:val="16"/>
            <w:u w:val="single" w:color="auto"/>
            <w:color w:val="0000FF"/>
          </w:rPr>
          <w:t>Certification of Principal Executive Officer pursuant to Exchange Act Rules 13a-14(a) and 15d-14(a).</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31.2 †</w:t>
            </w:r>
          </w:p>
        </w:tc>
        <w:tc>
          <w:tcPr>
            <w:tcW w:w="9360" w:type="dxa"/>
            <w:vAlign w:val="bottom"/>
            <w:gridSpan w:val="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3">
              <w:r>
                <w:rPr>
                  <w:rFonts w:ascii="Arial" w:cs="Arial" w:eastAsia="Arial" w:hAnsi="Arial"/>
                  <w:sz w:val="18"/>
                  <w:szCs w:val="18"/>
                  <w:color w:val="0000FF"/>
                </w:rPr>
                <w:t>Certification of Principal Financial Officer pursuant to Exchange Act Rules 13a-14(a) and 15d-14(a).</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1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32.1 ††</w:t>
            </w:r>
          </w:p>
        </w:tc>
        <w:tc>
          <w:tcPr>
            <w:tcW w:w="9360" w:type="dxa"/>
            <w:vAlign w:val="bottom"/>
            <w:gridSpan w:val="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4">
              <w:r>
                <w:rPr>
                  <w:rFonts w:ascii="Arial" w:cs="Arial" w:eastAsia="Arial" w:hAnsi="Arial"/>
                  <w:sz w:val="18"/>
                  <w:szCs w:val="18"/>
                  <w:color w:val="0000FF"/>
                </w:rPr>
                <w:t>Certification of Principal Executive Officer pursuant to 18 U.S.C. 1350.</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3660" w:type="dxa"/>
            <w:vAlign w:val="bottom"/>
            <w:tcBorders>
              <w:left w:val="single" w:sz="8" w:color="0000FF"/>
            </w:tcBorders>
            <w:gridSpan w:val="2"/>
          </w:tcPr>
          <w:p>
            <w:pPr>
              <w:spacing w:after="0" w:line="20" w:lineRule="exact"/>
              <w:rPr>
                <w:sz w:val="1"/>
                <w:szCs w:val="1"/>
                <w:color w:val="auto"/>
              </w:rPr>
            </w:pPr>
          </w:p>
        </w:tc>
      </w:tr>
      <w:tr>
        <w:trPr>
          <w:trHeight w:val="31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32.2 ††</w:t>
            </w:r>
          </w:p>
        </w:tc>
        <w:tc>
          <w:tcPr>
            <w:tcW w:w="9360" w:type="dxa"/>
            <w:vAlign w:val="bottom"/>
            <w:gridSpan w:val="4"/>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5">
              <w:r>
                <w:rPr>
                  <w:rFonts w:ascii="Arial" w:cs="Arial" w:eastAsia="Arial" w:hAnsi="Arial"/>
                  <w:sz w:val="18"/>
                  <w:szCs w:val="18"/>
                  <w:color w:val="0000FF"/>
                </w:rPr>
                <w:t>Certification of Principal Financial Officer pursuant to 18 U.S.C. 1350.</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r>
      <w:tr>
        <w:trPr>
          <w:trHeight w:val="304"/>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0"/>
              </w:rPr>
              <w:t>101.INS†</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w w:val="91"/>
              </w:rPr>
              <w:t>—  XBRL Instance Document - the instance document does not appear in the Interactive Data File because its XBRL tags are</w:t>
            </w:r>
          </w:p>
        </w:tc>
      </w:tr>
      <w:tr>
        <w:trPr>
          <w:trHeight w:val="230"/>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101.SCH†</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4"/>
              </w:rPr>
              <w:t>101.CAL†</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3"/>
              </w:rPr>
              <w:t>101.DEF†</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6"/>
              </w:rPr>
              <w:t>101.LAB†</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101.PRE†</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104†</w:t>
            </w:r>
          </w:p>
        </w:tc>
        <w:tc>
          <w:tcPr>
            <w:tcW w:w="9360" w:type="dxa"/>
            <w:vAlign w:val="bottom"/>
            <w:gridSpan w:val="4"/>
          </w:tcPr>
          <w:p>
            <w:pPr>
              <w:ind w:left="20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25" w:right="10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May 7, 2021</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89"/>
              </w:rPr>
              <w:t>Executive Vice President and Chief Financial Officer of Plains All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May 7, 2021</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0"/>
              </w:rPr>
              <w:t>Senior Vice President and Chief Accounting Officer of Plains All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May 7, 2021</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5"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May 7, 2021</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May 7,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2"/>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2"/>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lowerRoman"/>
      <w:start w:val="2"/>
    </w:lvl>
  </w:abstractNum>
  <w:abstractNum w:abstractNumId="28">
    <w:nsid w:val="6A2342EC"/>
    <w:multiLevelType w:val="hybridMultilevel"/>
    <w:lvl w:ilvl="0">
      <w:lvlJc w:val="left"/>
      <w:lvlText w:val="(%1)"/>
      <w:numFmt w:val="lowerRoman"/>
      <w:start w:val="5"/>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3"/>
    </w:lvl>
  </w:abstractNum>
  <w:abstractNum w:abstractNumId="32">
    <w:nsid w:val="2CD89A32"/>
    <w:multiLevelType w:val="hybridMultilevel"/>
    <w:lvl w:ilvl="0">
      <w:lvlJc w:val="left"/>
      <w:lvlText w:val="(%1)"/>
      <w:numFmt w:val="decimal"/>
      <w:start w:val="8"/>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3"/>
    </w:lvl>
  </w:abstractNum>
  <w:abstractNum w:abstractNumId="36">
    <w:nsid w:val="542289EC"/>
    <w:multiLevelType w:val="hybridMultilevel"/>
    <w:lvl w:ilvl="0">
      <w:lvlJc w:val="left"/>
      <w:lvlText w:val="(%1)"/>
      <w:numFmt w:val="decimal"/>
      <w:start w:val="6"/>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3"/>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lowerRoman"/>
      <w:start w:val="5"/>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lowerRoman"/>
      <w:start w:val="4"/>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5"/>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Roman"/>
      <w:start w:val="1"/>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0" Type="http://schemas.openxmlformats.org/officeDocument/2006/relationships/image" Target="media/image99.png"/><Relationship Id="rId137"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06" Type="http://schemas.openxmlformats.org/officeDocument/2006/relationships/hyperlink" Target="http://www.sec.gov/Archives/edgar/data/1070423/000110465917061889/a17-22685_5ex3d1.htm#Exhibit3_1_122228" TargetMode="External"/><Relationship Id="rId107" Type="http://schemas.openxmlformats.org/officeDocument/2006/relationships/hyperlink" Target="http://www.sec.gov/Archives/edgar/data/1070423/000104746904016502/a2135501zex-3_2.htm" TargetMode="External"/><Relationship Id="rId108" Type="http://schemas.openxmlformats.org/officeDocument/2006/relationships/hyperlink" Target="http://www.sec.gov/Archives/edgar/data/1070423/000110465911010359/a11-2319_1ex3d9.htm" TargetMode="External"/><Relationship Id="rId109" Type="http://schemas.openxmlformats.org/officeDocument/2006/relationships/hyperlink" Target="http://www.sec.gov/Archives/edgar/data/1070423/000110465911010359/a11-2319_1ex3d10.htm" TargetMode="External"/><Relationship Id="rId110" Type="http://schemas.openxmlformats.org/officeDocument/2006/relationships/hyperlink" Target="http://www.sec.gov/Archives/edgar/data/1070423/000110465914014322/a13-25941_1ex3d7.htm" TargetMode="External"/><Relationship Id="rId111" Type="http://schemas.openxmlformats.org/officeDocument/2006/relationships/hyperlink" Target="http://www.sec.gov/Archives/edgar/data/1070423/000110465914014322/a13-25941_1ex3d8.htm" TargetMode="External"/><Relationship Id="rId112" Type="http://schemas.openxmlformats.org/officeDocument/2006/relationships/hyperlink" Target="http://www.sec.gov/Archives/edgar/data/1070423/000107042320000004/paa201910-kexhibit37.htm" TargetMode="External"/><Relationship Id="rId113" Type="http://schemas.openxmlformats.org/officeDocument/2006/relationships/hyperlink" Target="http://www.sec.gov/Archives/edgar/data/1070423/000104746904016502/a2135501zex-3_3.htm" TargetMode="External"/><Relationship Id="rId114" Type="http://schemas.openxmlformats.org/officeDocument/2006/relationships/hyperlink" Target="http://www.sec.gov/Archives/edgar/data/1070423/000110465914014322/a13-25941_1ex3d10.htm" TargetMode="External"/><Relationship Id="rId115" Type="http://schemas.openxmlformats.org/officeDocument/2006/relationships/hyperlink" Target="http://www.sec.gov/Archives/edgar/data/1070423/000110465916158355/a16-21841_1ex3d3.htm" TargetMode="External"/><Relationship Id="rId116" Type="http://schemas.openxmlformats.org/officeDocument/2006/relationships/hyperlink" Target="http://www.sec.gov/Archives/edgar/data/1070423/000110465916158355/a16-21841_1ex3d4.htm" TargetMode="External"/><Relationship Id="rId117" Type="http://schemas.openxmlformats.org/officeDocument/2006/relationships/hyperlink" Target="http://www.sec.gov/Archives/edgar/data/1070423/000110465918060011/a18-36196_1ex3d1.htm" TargetMode="External"/><Relationship Id="rId118" Type="http://schemas.openxmlformats.org/officeDocument/2006/relationships/hyperlink" Target="http://www.sec.gov/Archives/edgar/data/1070423/000110465919032810/a19-10856_1ex3d1.htm" TargetMode="External"/><Relationship Id="rId119" Type="http://schemas.openxmlformats.org/officeDocument/2006/relationships/hyperlink" Target="http://www.sec.gov/Archives/edgar/data/1070423/000095012907001096/h43224exv3w10.htm" TargetMode="External"/><Relationship Id="rId121" Type="http://schemas.openxmlformats.org/officeDocument/2006/relationships/hyperlink" Target="http://www.sec.gov/Archives/edgar/data/1070423/000095012907001096/h43224exv3w11.htm" TargetMode="External"/><Relationship Id="rId122" Type="http://schemas.openxmlformats.org/officeDocument/2006/relationships/hyperlink" Target="http://www.sec.gov/Archives/edgar/data/1070423/000095012908000071/h52770exv3w3.htm" TargetMode="External"/><Relationship Id="rId123" Type="http://schemas.openxmlformats.org/officeDocument/2006/relationships/hyperlink" Target="http://www.sec.gov/Archives/edgar/data/1581990/000104746913007875/a2216069zex-3_1.htm" TargetMode="External"/><Relationship Id="rId124" Type="http://schemas.openxmlformats.org/officeDocument/2006/relationships/hyperlink" Target="http://www.sec.gov/Archives/edgar/data/1581990/000110465916158356/a16-21845_1ex3d2.htm" TargetMode="External"/><Relationship Id="rId125" Type="http://schemas.openxmlformats.org/officeDocument/2006/relationships/hyperlink" Target="http://www.sec.gov/Archives/edgar/data/1581990/000158199020000012/exhibit31.htm" TargetMode="External"/><Relationship Id="rId126" Type="http://schemas.openxmlformats.org/officeDocument/2006/relationships/hyperlink" Target="http://www.sec.gov/Archives/edgar/data/1581990/000104746913007875/a2216069zex-3_3.htm" TargetMode="External"/><Relationship Id="rId127" Type="http://schemas.openxmlformats.org/officeDocument/2006/relationships/hyperlink" Target="http://www.sec.gov/Archives/edgar/data/1070423/000110465917010601/a17-6891_1ex3d1.htm" TargetMode="External"/><Relationship Id="rId128" Type="http://schemas.openxmlformats.org/officeDocument/2006/relationships/hyperlink" Target="http://www.sec.gov/Archives/edgar/data/1070423/000110465918052848/a18-18381_3ex3d1.htm" TargetMode="External"/><Relationship Id="rId129" Type="http://schemas.openxmlformats.org/officeDocument/2006/relationships/hyperlink" Target="http://www.sec.gov/Archives/edgar/data/1070423/000110465918072384/a18-41341_1ex3d1.htm" TargetMode="External"/><Relationship Id="rId130" Type="http://schemas.openxmlformats.org/officeDocument/2006/relationships/hyperlink" Target="http://www.sec.gov/Archives/edgar/data/1070423/000110465919067782/tm1923979d1_ex3-1.htm" TargetMode="External"/><Relationship Id="rId131" Type="http://schemas.openxmlformats.org/officeDocument/2006/relationships/hyperlink" Target="http://www.sec.gov/Archives/edgar/data/1070423/000110465921031455/tm218523d2_ex3-1.htm" TargetMode="External"/><Relationship Id="rId132" Type="http://schemas.openxmlformats.org/officeDocument/2006/relationships/hyperlink" Target="http://www.sec.gov/Archives/edgar/data/1070423/000089924302002834/dex41.txt" TargetMode="External"/><Relationship Id="rId133" Type="http://schemas.openxmlformats.org/officeDocument/2006/relationships/hyperlink" Target="http://www.sec.gov/Archives/edgar/data/1070423/000110465906034368/a06-11663_1ex4d1.htm" TargetMode="External"/><Relationship Id="rId134" Type="http://schemas.openxmlformats.org/officeDocument/2006/relationships/hyperlink" Target="http://www.sec.gov/Archives/edgar/data/1070423/000095012906009235/h40667exv4w2.htm" TargetMode="External"/><Relationship Id="rId135" Type="http://schemas.openxmlformats.org/officeDocument/2006/relationships/hyperlink" Target="http://www.sec.gov/Archives/edgar/data/1070423/000119312512132295/d321017dex41.htm" TargetMode="External"/><Relationship Id="rId136" Type="http://schemas.openxmlformats.org/officeDocument/2006/relationships/hyperlink" Target="http://www.sec.gov/Archives/edgar/data/1070423/000119312512132295/d321017dex43.htm" TargetMode="External"/><Relationship Id="rId138" Type="http://schemas.openxmlformats.org/officeDocument/2006/relationships/hyperlink" Target="http://www.sec.gov/Archives/edgar/data/1070423/000119312512499932/d453762dex41.htm" TargetMode="External"/><Relationship Id="rId139" Type="http://schemas.openxmlformats.org/officeDocument/2006/relationships/hyperlink" Target="http://www.sec.gov/Archives/edgar/data/1070423/000119312512499932/d453762dex43.htm" TargetMode="External"/><Relationship Id="rId140" Type="http://schemas.openxmlformats.org/officeDocument/2006/relationships/hyperlink" Target="http://www.sec.gov/Archives/edgar/data/1070423/000119312513336066/d581734dex41.htm" TargetMode="External"/><Relationship Id="rId141" Type="http://schemas.openxmlformats.org/officeDocument/2006/relationships/hyperlink" Target="http://www.sec.gov/Archives/edgar/data/1070423/000119312514164183/d713938dex41.htm" TargetMode="External"/><Relationship Id="rId142" Type="http://schemas.openxmlformats.org/officeDocument/2006/relationships/hyperlink" Target="http://www.sec.gov/Archives/edgar/data/1070423/000119312514338289/d787160dex41.htm" TargetMode="External"/><Relationship Id="rId143" Type="http://schemas.openxmlformats.org/officeDocument/2006/relationships/hyperlink" Target="http://www.sec.gov/Archives/edgar/data/1070423/000119312514440007/d833885dex43.htm" TargetMode="External"/><Relationship Id="rId144" Type="http://schemas.openxmlformats.org/officeDocument/2006/relationships/hyperlink" Target="http://www.sec.gov/Archives/edgar/data/1070423/000119312515302829/d45393dex41.htm" TargetMode="External"/><Relationship Id="rId145" Type="http://schemas.openxmlformats.org/officeDocument/2006/relationships/hyperlink" Target="http://www.sec.gov/Archives/edgar/data/1070423/000110465916159593/a16-22232_1ex4d1.htm" TargetMode="External"/><Relationship Id="rId146" Type="http://schemas.openxmlformats.org/officeDocument/2006/relationships/hyperlink" Target="http://www.sec.gov/Archives/edgar/data/1070423/000141057819001281/tv529555_ex4-1.htm" TargetMode="External"/><Relationship Id="rId147" Type="http://schemas.openxmlformats.org/officeDocument/2006/relationships/hyperlink" Target="http://www.sec.gov/Archives/edgar/data/1070423/000110465920072270/tm2022235d1_ex4-1.htm" TargetMode="External"/><Relationship Id="rId148" Type="http://schemas.openxmlformats.org/officeDocument/2006/relationships/hyperlink" Target="http://www.sec.gov/Archives/edgar/data/1070423/000095012309050401/h68193exv4w1.htm" TargetMode="External"/><Relationship Id="rId149" Type="http://schemas.openxmlformats.org/officeDocument/2006/relationships/hyperlink" Target="http://www.sec.gov/Archives/edgar/data/1070423/000110465916093299/a16-3362_1ex4d1.htm" TargetMode="External"/><Relationship Id="rId150" Type="http://schemas.openxmlformats.org/officeDocument/2006/relationships/hyperlink" Target="http://www.sec.gov/Archives/edgar/data/1070423/000110465916158355/a16-21841_1ex10d4.htm" TargetMode="External"/><Relationship Id="rId151" Type="http://schemas.openxmlformats.org/officeDocument/2006/relationships/hyperlink" Target="http://www.sec.gov/Archives/edgar/data/1070423/000107042321000008/paa202010-kexhibit4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2021-05-10T05:33:17Z</dcterms:created>
  <dcterms:modified xsi:type="dcterms:W3CDTF">2021-05-10T05:33:17Z</dcterms:modified>
</cp:coreProperties>
</file>